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05F364" w14:textId="77777777" w:rsidR="00EC6019" w:rsidRDefault="00EC6019" w:rsidP="00347B16">
      <w:pPr>
        <w:spacing w:line="360" w:lineRule="auto"/>
        <w:jc w:val="center"/>
        <w:rPr>
          <w:rFonts w:ascii="Arial" w:hAnsi="Arial" w:cs="Arial"/>
          <w:b/>
          <w:bCs/>
          <w:lang w:eastAsia="en-US"/>
        </w:rPr>
      </w:pPr>
    </w:p>
    <w:p w14:paraId="6F2D0E50" w14:textId="5025D269" w:rsidR="001A3552" w:rsidRPr="00347B16" w:rsidRDefault="006F70FE" w:rsidP="00347B16">
      <w:pPr>
        <w:spacing w:line="360" w:lineRule="auto"/>
        <w:jc w:val="center"/>
        <w:rPr>
          <w:rFonts w:ascii="Arial" w:hAnsi="Arial" w:cs="Arial"/>
          <w:b/>
          <w:bCs/>
          <w:lang w:eastAsia="en-US"/>
        </w:rPr>
      </w:pPr>
      <w:r w:rsidRPr="00347B16">
        <w:rPr>
          <w:rFonts w:ascii="Arial" w:hAnsi="Arial" w:cs="Arial"/>
          <w:b/>
          <w:bCs/>
          <w:lang w:eastAsia="en-US"/>
        </w:rPr>
        <w:t>EL ESTÁNDAR REFORZADO DE VALOR PROBATORIO EN CASOS DE VIOLENCIA POLÍTICA POR RAZONES DE GÉNERO.</w:t>
      </w:r>
    </w:p>
    <w:p w14:paraId="2E8AFB70" w14:textId="77777777" w:rsidR="00863016" w:rsidRPr="006F70FE" w:rsidRDefault="00863016" w:rsidP="006F70FE">
      <w:pPr>
        <w:spacing w:line="360" w:lineRule="auto"/>
        <w:rPr>
          <w:rFonts w:ascii="Arial" w:hAnsi="Arial" w:cs="Arial"/>
        </w:rPr>
      </w:pPr>
    </w:p>
    <w:p w14:paraId="24DCD294" w14:textId="77777777" w:rsidR="001A3552" w:rsidRPr="0040481B" w:rsidRDefault="001A3552" w:rsidP="006F70FE">
      <w:pPr>
        <w:spacing w:line="360" w:lineRule="auto"/>
        <w:jc w:val="right"/>
        <w:rPr>
          <w:rFonts w:ascii="Arial" w:hAnsi="Arial" w:cs="Arial"/>
        </w:rPr>
      </w:pPr>
      <w:r w:rsidRPr="00BC78E7">
        <w:rPr>
          <w:rFonts w:ascii="Arial" w:hAnsi="Arial" w:cs="Arial"/>
          <w:smallCaps/>
        </w:rPr>
        <w:t>Roselia Bustillo Marín</w:t>
      </w:r>
      <w:r w:rsidRPr="0040481B">
        <w:rPr>
          <w:rStyle w:val="Refdenotaalpie"/>
          <w:rFonts w:ascii="Arial" w:hAnsi="Arial" w:cs="Arial"/>
        </w:rPr>
        <w:footnoteReference w:id="1"/>
      </w:r>
    </w:p>
    <w:p w14:paraId="468737E7" w14:textId="77777777" w:rsidR="001A3552" w:rsidRPr="006F70FE" w:rsidRDefault="001A3552" w:rsidP="006F70FE">
      <w:pPr>
        <w:spacing w:line="360" w:lineRule="auto"/>
        <w:jc w:val="right"/>
        <w:rPr>
          <w:rFonts w:ascii="Arial" w:hAnsi="Arial" w:cs="Arial"/>
        </w:rPr>
      </w:pPr>
    </w:p>
    <w:p w14:paraId="4BA72163" w14:textId="264A9D4D" w:rsidR="0040481B" w:rsidRPr="0040481B" w:rsidRDefault="001A3552" w:rsidP="0040481B">
      <w:pPr>
        <w:spacing w:line="360" w:lineRule="auto"/>
        <w:jc w:val="both"/>
        <w:rPr>
          <w:rFonts w:ascii="Arial" w:hAnsi="Arial" w:cs="Arial"/>
          <w:i/>
          <w:iCs/>
        </w:rPr>
      </w:pPr>
      <w:r w:rsidRPr="0040481B">
        <w:rPr>
          <w:rFonts w:ascii="Arial" w:hAnsi="Arial" w:cs="Arial"/>
          <w:i/>
          <w:iCs/>
        </w:rPr>
        <w:t xml:space="preserve">SUMARIO: I. Introducción. II. </w:t>
      </w:r>
      <w:r w:rsidR="0040481B" w:rsidRPr="0040481B">
        <w:rPr>
          <w:rFonts w:ascii="Arial" w:hAnsi="Arial" w:cs="Arial"/>
          <w:i/>
          <w:iCs/>
        </w:rPr>
        <w:t xml:space="preserve">La violencia política por razón de género como un acto de discriminación. III. Juzgar con perspectiva de género </w:t>
      </w:r>
      <w:r w:rsidR="006549DA">
        <w:rPr>
          <w:rFonts w:ascii="Arial" w:hAnsi="Arial" w:cs="Arial"/>
          <w:i/>
          <w:iCs/>
        </w:rPr>
        <w:t xml:space="preserve">los </w:t>
      </w:r>
      <w:r w:rsidR="0040481B" w:rsidRPr="0040481B">
        <w:rPr>
          <w:rFonts w:ascii="Arial" w:hAnsi="Arial" w:cs="Arial"/>
          <w:i/>
          <w:iCs/>
        </w:rPr>
        <w:t xml:space="preserve">casos de violencia política de género. IV. La </w:t>
      </w:r>
      <w:r w:rsidR="006549DA">
        <w:rPr>
          <w:rFonts w:ascii="Arial" w:hAnsi="Arial" w:cs="Arial"/>
          <w:i/>
          <w:iCs/>
        </w:rPr>
        <w:t xml:space="preserve">valoración y </w:t>
      </w:r>
      <w:r w:rsidR="0040481B" w:rsidRPr="0040481B">
        <w:rPr>
          <w:rFonts w:ascii="Arial" w:hAnsi="Arial" w:cs="Arial"/>
          <w:i/>
          <w:iCs/>
        </w:rPr>
        <w:t>reversión de la carga de la prueba</w:t>
      </w:r>
      <w:r w:rsidR="006549DA">
        <w:rPr>
          <w:rFonts w:ascii="Arial" w:hAnsi="Arial" w:cs="Arial"/>
          <w:i/>
          <w:iCs/>
        </w:rPr>
        <w:t xml:space="preserve"> con perspectiva de género</w:t>
      </w:r>
      <w:r w:rsidR="0040481B" w:rsidRPr="0040481B">
        <w:rPr>
          <w:rFonts w:ascii="Arial" w:hAnsi="Arial" w:cs="Arial"/>
          <w:i/>
          <w:iCs/>
        </w:rPr>
        <w:t xml:space="preserve">. V. La reversión de la carga de prueba con perspectiva de género intercultural. VI. El sexo o género de quien comete la </w:t>
      </w:r>
      <w:r w:rsidR="006549DA">
        <w:rPr>
          <w:rFonts w:ascii="Arial" w:hAnsi="Arial" w:cs="Arial"/>
          <w:i/>
          <w:iCs/>
        </w:rPr>
        <w:t xml:space="preserve">violencia política por razón de género </w:t>
      </w:r>
      <w:r w:rsidR="0040481B" w:rsidRPr="0040481B">
        <w:rPr>
          <w:rFonts w:ascii="Arial" w:hAnsi="Arial" w:cs="Arial"/>
          <w:i/>
          <w:iCs/>
        </w:rPr>
        <w:t>es intrascendente. VII. Conclusiones. VIII. Bibliografía.</w:t>
      </w:r>
    </w:p>
    <w:p w14:paraId="0C43DAE2" w14:textId="2230CB5F" w:rsidR="0040481B" w:rsidRDefault="0040481B" w:rsidP="0040481B">
      <w:pPr>
        <w:spacing w:line="360" w:lineRule="auto"/>
        <w:jc w:val="both"/>
        <w:rPr>
          <w:rFonts w:ascii="Arial" w:hAnsi="Arial" w:cs="Arial"/>
        </w:rPr>
      </w:pPr>
    </w:p>
    <w:p w14:paraId="06C0E978" w14:textId="5A5B624A" w:rsidR="00C5151D" w:rsidRDefault="006F70FE" w:rsidP="00C5151D">
      <w:pPr>
        <w:spacing w:line="360" w:lineRule="auto"/>
        <w:jc w:val="both"/>
        <w:rPr>
          <w:rFonts w:ascii="Arial" w:hAnsi="Arial" w:cs="Arial"/>
          <w:b/>
          <w:bCs/>
        </w:rPr>
      </w:pPr>
      <w:r>
        <w:rPr>
          <w:rFonts w:ascii="Arial" w:hAnsi="Arial" w:cs="Arial"/>
          <w:b/>
          <w:bCs/>
        </w:rPr>
        <w:t xml:space="preserve">I. </w:t>
      </w:r>
      <w:r w:rsidR="0040481B" w:rsidRPr="0040481B">
        <w:rPr>
          <w:rFonts w:ascii="Arial" w:hAnsi="Arial" w:cs="Arial"/>
          <w:b/>
          <w:bCs/>
        </w:rPr>
        <w:t>Introducció</w:t>
      </w:r>
      <w:r w:rsidR="00C5151D">
        <w:rPr>
          <w:rFonts w:ascii="Arial" w:hAnsi="Arial" w:cs="Arial"/>
          <w:b/>
          <w:bCs/>
        </w:rPr>
        <w:t>n</w:t>
      </w:r>
    </w:p>
    <w:p w14:paraId="7ED6A3D2" w14:textId="0B57A18F" w:rsidR="00C5151D" w:rsidRDefault="00C5151D" w:rsidP="00C5151D">
      <w:pPr>
        <w:spacing w:line="360" w:lineRule="auto"/>
        <w:jc w:val="both"/>
        <w:rPr>
          <w:rFonts w:ascii="Arial" w:hAnsi="Arial" w:cs="Arial"/>
          <w:b/>
          <w:bCs/>
        </w:rPr>
      </w:pPr>
    </w:p>
    <w:p w14:paraId="281651A2" w14:textId="5FAE9B8A" w:rsidR="0039493A" w:rsidRDefault="00C5151D" w:rsidP="00C5151D">
      <w:pPr>
        <w:spacing w:line="360" w:lineRule="auto"/>
        <w:jc w:val="both"/>
        <w:rPr>
          <w:rFonts w:ascii="Arial" w:hAnsi="Arial" w:cs="Arial"/>
        </w:rPr>
      </w:pPr>
      <w:r w:rsidRPr="00C028A7">
        <w:rPr>
          <w:rFonts w:ascii="Arial" w:hAnsi="Arial" w:cs="Arial"/>
        </w:rPr>
        <w:t xml:space="preserve">Varios años pasaron para que la violencia política por razones de género </w:t>
      </w:r>
      <w:r w:rsidR="009F147F">
        <w:rPr>
          <w:rFonts w:ascii="Arial" w:hAnsi="Arial" w:cs="Arial"/>
        </w:rPr>
        <w:t xml:space="preserve">(VPG) </w:t>
      </w:r>
      <w:r w:rsidRPr="00C028A7">
        <w:rPr>
          <w:rFonts w:ascii="Arial" w:hAnsi="Arial" w:cs="Arial"/>
        </w:rPr>
        <w:t xml:space="preserve">se </w:t>
      </w:r>
      <w:r w:rsidR="00966792" w:rsidRPr="00C028A7">
        <w:rPr>
          <w:rFonts w:ascii="Arial" w:hAnsi="Arial" w:cs="Arial"/>
        </w:rPr>
        <w:t xml:space="preserve">legislara. Fue el trece de abril del año pasado </w:t>
      </w:r>
      <w:r w:rsidR="00DD7EF0">
        <w:rPr>
          <w:rFonts w:ascii="Arial" w:hAnsi="Arial" w:cs="Arial"/>
        </w:rPr>
        <w:t xml:space="preserve">el día en </w:t>
      </w:r>
      <w:r w:rsidR="00966792" w:rsidRPr="00C028A7">
        <w:rPr>
          <w:rFonts w:ascii="Arial" w:hAnsi="Arial" w:cs="Arial"/>
        </w:rPr>
        <w:t>que</w:t>
      </w:r>
      <w:bookmarkStart w:id="0" w:name="_GoBack"/>
      <w:bookmarkEnd w:id="0"/>
      <w:r w:rsidR="00966792" w:rsidRPr="00C028A7">
        <w:rPr>
          <w:rFonts w:ascii="Arial" w:hAnsi="Arial" w:cs="Arial"/>
        </w:rPr>
        <w:t xml:space="preserve"> por fin se plasmaron las normas en diversas leyes que regulan este fenómeno social. </w:t>
      </w:r>
      <w:r w:rsidR="00DD7EF0">
        <w:rPr>
          <w:rFonts w:ascii="Arial" w:hAnsi="Arial" w:cs="Arial"/>
        </w:rPr>
        <w:t>Se trata de</w:t>
      </w:r>
      <w:r w:rsidR="0088497D">
        <w:rPr>
          <w:rFonts w:ascii="Arial" w:hAnsi="Arial" w:cs="Arial"/>
        </w:rPr>
        <w:t xml:space="preserve"> </w:t>
      </w:r>
      <w:r w:rsidR="0039493A" w:rsidRPr="006B5B3C">
        <w:rPr>
          <w:rFonts w:ascii="Arial" w:hAnsi="Arial" w:cs="Arial"/>
        </w:rPr>
        <w:t xml:space="preserve">una modificación legal integral que </w:t>
      </w:r>
      <w:r w:rsidR="0088497D">
        <w:rPr>
          <w:rFonts w:ascii="Arial" w:hAnsi="Arial" w:cs="Arial"/>
        </w:rPr>
        <w:t xml:space="preserve">lo </w:t>
      </w:r>
      <w:r w:rsidR="0039493A" w:rsidRPr="006B5B3C">
        <w:rPr>
          <w:rFonts w:ascii="Arial" w:hAnsi="Arial" w:cs="Arial"/>
        </w:rPr>
        <w:t>aborda desde el ámbito administrativo, jurisdiccional y penal electoral</w:t>
      </w:r>
      <w:r w:rsidR="0088497D">
        <w:rPr>
          <w:rFonts w:ascii="Arial" w:hAnsi="Arial" w:cs="Arial"/>
        </w:rPr>
        <w:t>.</w:t>
      </w:r>
    </w:p>
    <w:p w14:paraId="563CC61A" w14:textId="3E03BC03" w:rsidR="00C028A7" w:rsidRDefault="00C028A7" w:rsidP="00C5151D">
      <w:pPr>
        <w:spacing w:line="360" w:lineRule="auto"/>
        <w:jc w:val="both"/>
        <w:rPr>
          <w:rFonts w:ascii="Arial" w:hAnsi="Arial" w:cs="Arial"/>
          <w:b/>
          <w:bCs/>
        </w:rPr>
      </w:pPr>
    </w:p>
    <w:p w14:paraId="4445E6B1" w14:textId="77777777" w:rsidR="00C028A7" w:rsidRDefault="00C028A7" w:rsidP="00C5151D">
      <w:pPr>
        <w:spacing w:line="360" w:lineRule="auto"/>
        <w:jc w:val="both"/>
        <w:rPr>
          <w:rFonts w:ascii="Arial" w:hAnsi="Arial" w:cs="Arial"/>
        </w:rPr>
      </w:pPr>
      <w:r w:rsidRPr="00C028A7">
        <w:rPr>
          <w:rFonts w:ascii="Arial" w:hAnsi="Arial" w:cs="Arial"/>
        </w:rPr>
        <w:t xml:space="preserve">Antes de la llegada de esa reforma legal, en ausencia de normas y de su reglamentación, se crearon herramientas por parte de las autoridades electorales, de protección de derechos humanos, de derechos de las mujeres y de derechos las víctimas de violencia. </w:t>
      </w:r>
    </w:p>
    <w:p w14:paraId="1DDD08F2" w14:textId="77777777" w:rsidR="00C028A7" w:rsidRDefault="00C028A7" w:rsidP="00C5151D">
      <w:pPr>
        <w:spacing w:line="360" w:lineRule="auto"/>
        <w:jc w:val="both"/>
        <w:rPr>
          <w:rFonts w:ascii="Arial" w:hAnsi="Arial" w:cs="Arial"/>
        </w:rPr>
      </w:pPr>
    </w:p>
    <w:p w14:paraId="7C6FE71C" w14:textId="099EF80B" w:rsidR="00C028A7" w:rsidRDefault="00C028A7" w:rsidP="00C028A7">
      <w:pPr>
        <w:spacing w:line="360" w:lineRule="auto"/>
        <w:jc w:val="both"/>
        <w:rPr>
          <w:rFonts w:ascii="Arial" w:hAnsi="Arial" w:cs="Arial"/>
        </w:rPr>
      </w:pPr>
      <w:r w:rsidRPr="00C028A7">
        <w:rPr>
          <w:rFonts w:ascii="Arial" w:hAnsi="Arial" w:cs="Arial"/>
        </w:rPr>
        <w:t>Entre esos instrumentos está</w:t>
      </w:r>
      <w:r w:rsidR="00931C1C">
        <w:rPr>
          <w:rFonts w:ascii="Arial" w:hAnsi="Arial" w:cs="Arial"/>
        </w:rPr>
        <w:t>n</w:t>
      </w:r>
      <w:r w:rsidRPr="00C028A7">
        <w:rPr>
          <w:rFonts w:ascii="Arial" w:hAnsi="Arial" w:cs="Arial"/>
        </w:rPr>
        <w:t xml:space="preserve"> el </w:t>
      </w:r>
      <w:r w:rsidR="0039493A" w:rsidRPr="0039493A">
        <w:rPr>
          <w:rFonts w:ascii="Arial" w:hAnsi="Arial" w:cs="Arial"/>
        </w:rPr>
        <w:t xml:space="preserve">Protocolo para la Atención de la Violencia Política contra las Mujeres </w:t>
      </w:r>
      <w:proofErr w:type="gramStart"/>
      <w:r w:rsidR="0039493A" w:rsidRPr="0039493A">
        <w:rPr>
          <w:rFonts w:ascii="Arial" w:hAnsi="Arial" w:cs="Arial"/>
        </w:rPr>
        <w:t>en Razón de</w:t>
      </w:r>
      <w:proofErr w:type="gramEnd"/>
      <w:r w:rsidR="0039493A" w:rsidRPr="0039493A">
        <w:rPr>
          <w:rFonts w:ascii="Arial" w:hAnsi="Arial" w:cs="Arial"/>
        </w:rPr>
        <w:t xml:space="preserve"> Género</w:t>
      </w:r>
      <w:r w:rsidR="00D60723">
        <w:rPr>
          <w:rStyle w:val="Refdenotaalpie"/>
          <w:rFonts w:ascii="Arial" w:hAnsi="Arial" w:cs="Arial"/>
        </w:rPr>
        <w:footnoteReference w:id="2"/>
      </w:r>
      <w:r w:rsidRPr="00C028A7">
        <w:rPr>
          <w:rFonts w:ascii="Arial" w:hAnsi="Arial" w:cs="Arial"/>
        </w:rPr>
        <w:t xml:space="preserve">, </w:t>
      </w:r>
      <w:r w:rsidR="00B7424B">
        <w:rPr>
          <w:rFonts w:ascii="Arial" w:hAnsi="Arial" w:cs="Arial"/>
        </w:rPr>
        <w:t xml:space="preserve">las </w:t>
      </w:r>
      <w:r w:rsidRPr="00C028A7">
        <w:rPr>
          <w:rFonts w:ascii="Arial" w:hAnsi="Arial" w:cs="Arial"/>
        </w:rPr>
        <w:t xml:space="preserve">sentencias del Tribunal Electoral del </w:t>
      </w:r>
      <w:r w:rsidRPr="00C028A7">
        <w:rPr>
          <w:rFonts w:ascii="Arial" w:hAnsi="Arial" w:cs="Arial"/>
        </w:rPr>
        <w:lastRenderedPageBreak/>
        <w:t xml:space="preserve">Poder Judicial de la Federación </w:t>
      </w:r>
      <w:r w:rsidR="00B7424B">
        <w:rPr>
          <w:rFonts w:ascii="Arial" w:hAnsi="Arial" w:cs="Arial"/>
        </w:rPr>
        <w:t xml:space="preserve">que han </w:t>
      </w:r>
      <w:r w:rsidR="00B7424B" w:rsidRPr="00C028A7">
        <w:rPr>
          <w:rFonts w:ascii="Arial" w:hAnsi="Arial" w:cs="Arial"/>
        </w:rPr>
        <w:t>generado</w:t>
      </w:r>
      <w:r w:rsidRPr="00C028A7">
        <w:rPr>
          <w:rFonts w:ascii="Arial" w:hAnsi="Arial" w:cs="Arial"/>
        </w:rPr>
        <w:t xml:space="preserve"> una línea jurisprudencial, así como jurisprudencia obligatoria para todas las autoridades electorales del país</w:t>
      </w:r>
      <w:r w:rsidR="00B7424B">
        <w:rPr>
          <w:rFonts w:ascii="Arial" w:hAnsi="Arial" w:cs="Arial"/>
        </w:rPr>
        <w:t>. El contenido de estos instrumentos está</w:t>
      </w:r>
      <w:r w:rsidR="009C5879">
        <w:rPr>
          <w:rFonts w:ascii="Arial" w:hAnsi="Arial" w:cs="Arial"/>
        </w:rPr>
        <w:t xml:space="preserve"> relacionado con </w:t>
      </w:r>
      <w:r w:rsidRPr="00E43FBC">
        <w:rPr>
          <w:rFonts w:ascii="Arial" w:hAnsi="Arial" w:cs="Arial"/>
        </w:rPr>
        <w:t xml:space="preserve">la conceptualización, erradicación, y sanción de la violencia política por razón de género, </w:t>
      </w:r>
      <w:r w:rsidR="009C5879">
        <w:rPr>
          <w:rFonts w:ascii="Arial" w:hAnsi="Arial" w:cs="Arial"/>
        </w:rPr>
        <w:t>específicamente en</w:t>
      </w:r>
      <w:r w:rsidRPr="00E43FBC">
        <w:rPr>
          <w:rFonts w:ascii="Arial" w:hAnsi="Arial" w:cs="Arial"/>
        </w:rPr>
        <w:t xml:space="preserve"> contra las mujeres. </w:t>
      </w:r>
    </w:p>
    <w:p w14:paraId="694C05AF" w14:textId="4891F70A" w:rsidR="00DD7EF0" w:rsidRDefault="00DD7EF0" w:rsidP="009C5879">
      <w:pPr>
        <w:spacing w:before="100" w:beforeAutospacing="1" w:after="100" w:afterAutospacing="1" w:line="360" w:lineRule="auto"/>
        <w:ind w:right="49"/>
        <w:jc w:val="both"/>
        <w:rPr>
          <w:rFonts w:ascii="Arial" w:hAnsi="Arial" w:cs="Arial"/>
        </w:rPr>
      </w:pPr>
      <w:r>
        <w:rPr>
          <w:rFonts w:ascii="Arial" w:hAnsi="Arial" w:cs="Arial"/>
        </w:rPr>
        <w:t>Esa tan esperada reforma legal nombró las prácticas reiterada</w:t>
      </w:r>
      <w:r w:rsidR="007B1A65">
        <w:rPr>
          <w:rFonts w:ascii="Arial" w:hAnsi="Arial" w:cs="Arial"/>
        </w:rPr>
        <w:t>,</w:t>
      </w:r>
      <w:r>
        <w:rPr>
          <w:rFonts w:ascii="Arial" w:hAnsi="Arial" w:cs="Arial"/>
        </w:rPr>
        <w:t xml:space="preserve"> de </w:t>
      </w:r>
      <w:r w:rsidR="007B1A65">
        <w:rPr>
          <w:rFonts w:ascii="Arial" w:hAnsi="Arial" w:cs="Arial"/>
        </w:rPr>
        <w:t>todas las formas</w:t>
      </w:r>
      <w:r>
        <w:rPr>
          <w:rFonts w:ascii="Arial" w:hAnsi="Arial" w:cs="Arial"/>
        </w:rPr>
        <w:t xml:space="preserve"> de violencia política por razones de género, asimismo </w:t>
      </w:r>
      <w:r w:rsidR="00B7424B">
        <w:rPr>
          <w:rFonts w:ascii="Arial" w:hAnsi="Arial" w:cs="Arial"/>
        </w:rPr>
        <w:t xml:space="preserve">se </w:t>
      </w:r>
      <w:r>
        <w:rPr>
          <w:rFonts w:ascii="Arial" w:hAnsi="Arial" w:cs="Arial"/>
        </w:rPr>
        <w:t xml:space="preserve">incluyeron las sanciones a imponer a las personas infractoras, y la obligación a las autoridades competentes de emitir medidas de reparación y de no repetición en favor de la víctima. </w:t>
      </w:r>
    </w:p>
    <w:p w14:paraId="6DAB882C" w14:textId="35B70FA1" w:rsidR="000E389C" w:rsidRDefault="000E389C" w:rsidP="000E389C">
      <w:pPr>
        <w:spacing w:line="360" w:lineRule="auto"/>
        <w:ind w:right="49"/>
        <w:jc w:val="both"/>
        <w:rPr>
          <w:rFonts w:ascii="Arial" w:hAnsi="Arial" w:cs="Arial"/>
        </w:rPr>
      </w:pPr>
      <w:r>
        <w:rPr>
          <w:rFonts w:ascii="Arial" w:hAnsi="Arial" w:cs="Arial"/>
        </w:rPr>
        <w:t xml:space="preserve">Se </w:t>
      </w:r>
      <w:r w:rsidR="007B1A65">
        <w:rPr>
          <w:rFonts w:ascii="Arial" w:hAnsi="Arial" w:cs="Arial"/>
        </w:rPr>
        <w:t xml:space="preserve">abonó </w:t>
      </w:r>
      <w:r>
        <w:rPr>
          <w:rFonts w:ascii="Arial" w:hAnsi="Arial" w:cs="Arial"/>
        </w:rPr>
        <w:t>a la labor de todas las autoridades estatales de transformar preconcepciones y patrones sociales, puesto que, en la emisión de diversas sentencias, previas y posteriores a la reforma, se ha buscado reparar, evitar y sancionar</w:t>
      </w:r>
      <w:r w:rsidR="00730169">
        <w:rPr>
          <w:rFonts w:ascii="Arial" w:hAnsi="Arial" w:cs="Arial"/>
        </w:rPr>
        <w:t xml:space="preserve"> esa violencia política de género, que deviene, generalmente, de la acción principal de vulnerar el ejercicio de la real </w:t>
      </w:r>
      <w:r w:rsidR="009F147F">
        <w:rPr>
          <w:rFonts w:ascii="Arial" w:hAnsi="Arial" w:cs="Arial"/>
        </w:rPr>
        <w:t xml:space="preserve">de la </w:t>
      </w:r>
      <w:r w:rsidR="00730169">
        <w:rPr>
          <w:rFonts w:ascii="Arial" w:hAnsi="Arial" w:cs="Arial"/>
        </w:rPr>
        <w:t xml:space="preserve">participación política de las mujeres. </w:t>
      </w:r>
    </w:p>
    <w:p w14:paraId="7F2805E9" w14:textId="77777777" w:rsidR="007B1A65" w:rsidRDefault="007B1A65" w:rsidP="00931C1C">
      <w:pPr>
        <w:spacing w:line="360" w:lineRule="auto"/>
        <w:ind w:right="49"/>
        <w:jc w:val="both"/>
        <w:rPr>
          <w:rFonts w:ascii="Arial" w:hAnsi="Arial" w:cs="Arial"/>
        </w:rPr>
      </w:pPr>
    </w:p>
    <w:p w14:paraId="1D4D2218" w14:textId="0AD528EB" w:rsidR="00730169" w:rsidRDefault="00730169" w:rsidP="00931C1C">
      <w:pPr>
        <w:spacing w:line="360" w:lineRule="auto"/>
        <w:ind w:right="49"/>
        <w:jc w:val="both"/>
        <w:rPr>
          <w:rFonts w:ascii="Arial" w:hAnsi="Arial" w:cs="Arial"/>
        </w:rPr>
      </w:pPr>
      <w:r>
        <w:rPr>
          <w:rFonts w:ascii="Arial" w:hAnsi="Arial" w:cs="Arial"/>
        </w:rPr>
        <w:t xml:space="preserve">Eso mismo ha llevado a la obligación de que, en los casos judiciales relacionados con esa violencia, se juzgue </w:t>
      </w:r>
      <w:r w:rsidR="0040481B" w:rsidRPr="00A51479">
        <w:rPr>
          <w:rFonts w:ascii="Arial" w:hAnsi="Arial" w:cs="Arial"/>
        </w:rPr>
        <w:t xml:space="preserve">con perspectiva de género, </w:t>
      </w:r>
      <w:r>
        <w:rPr>
          <w:rFonts w:ascii="Arial" w:hAnsi="Arial" w:cs="Arial"/>
        </w:rPr>
        <w:t xml:space="preserve">siempre con la mirada </w:t>
      </w:r>
      <w:r w:rsidR="00AA1564">
        <w:rPr>
          <w:rFonts w:ascii="Arial" w:hAnsi="Arial" w:cs="Arial"/>
        </w:rPr>
        <w:t>puesta en</w:t>
      </w:r>
      <w:r>
        <w:rPr>
          <w:rFonts w:ascii="Arial" w:hAnsi="Arial" w:cs="Arial"/>
        </w:rPr>
        <w:t xml:space="preserve"> la posible o real víctima</w:t>
      </w:r>
      <w:r w:rsidR="00AA1564">
        <w:rPr>
          <w:rFonts w:ascii="Arial" w:hAnsi="Arial" w:cs="Arial"/>
        </w:rPr>
        <w:t xml:space="preserve">, pues es a </w:t>
      </w:r>
      <w:r w:rsidR="00AA1564" w:rsidRPr="009F147F">
        <w:rPr>
          <w:rFonts w:ascii="Arial" w:hAnsi="Arial" w:cs="Arial"/>
        </w:rPr>
        <w:t xml:space="preserve">quien se le debe tutelar </w:t>
      </w:r>
      <w:r w:rsidR="009F147F" w:rsidRPr="009F147F">
        <w:rPr>
          <w:rFonts w:ascii="Arial" w:hAnsi="Arial" w:cs="Arial"/>
        </w:rPr>
        <w:t xml:space="preserve">sus derechos </w:t>
      </w:r>
      <w:r w:rsidR="00AA1564" w:rsidRPr="009F147F">
        <w:rPr>
          <w:rFonts w:ascii="Arial" w:hAnsi="Arial" w:cs="Arial"/>
        </w:rPr>
        <w:t>y proteger de los actos que configuren la violencia política por razones de su género, evitando su reiteración en todo momento.</w:t>
      </w:r>
      <w:r w:rsidR="00AA1564">
        <w:rPr>
          <w:rFonts w:ascii="Arial" w:hAnsi="Arial" w:cs="Arial"/>
        </w:rPr>
        <w:t xml:space="preserve"> </w:t>
      </w:r>
    </w:p>
    <w:p w14:paraId="38077585" w14:textId="11343CDF" w:rsidR="00AA1564" w:rsidRDefault="00AA1564" w:rsidP="00931C1C">
      <w:pPr>
        <w:spacing w:line="360" w:lineRule="auto"/>
        <w:ind w:right="49"/>
        <w:jc w:val="both"/>
        <w:rPr>
          <w:rFonts w:ascii="Arial" w:hAnsi="Arial" w:cs="Arial"/>
        </w:rPr>
      </w:pPr>
    </w:p>
    <w:p w14:paraId="0507F73A" w14:textId="1E2456C1" w:rsidR="00AA1564" w:rsidRDefault="00AA1564" w:rsidP="00931C1C">
      <w:pPr>
        <w:spacing w:line="360" w:lineRule="auto"/>
        <w:ind w:right="49"/>
        <w:jc w:val="both"/>
        <w:rPr>
          <w:rFonts w:ascii="Arial" w:hAnsi="Arial" w:cs="Arial"/>
        </w:rPr>
      </w:pPr>
      <w:r>
        <w:rPr>
          <w:rFonts w:ascii="Arial" w:hAnsi="Arial" w:cs="Arial"/>
        </w:rPr>
        <w:t>Para arribar a la protección eficaz de las víctimas</w:t>
      </w:r>
      <w:r w:rsidR="009F147F">
        <w:rPr>
          <w:rFonts w:ascii="Arial" w:hAnsi="Arial" w:cs="Arial"/>
        </w:rPr>
        <w:t>,</w:t>
      </w:r>
      <w:r>
        <w:rPr>
          <w:rFonts w:ascii="Arial" w:hAnsi="Arial" w:cs="Arial"/>
        </w:rPr>
        <w:t xml:space="preserve"> </w:t>
      </w:r>
      <w:r w:rsidR="00AE1FB1">
        <w:rPr>
          <w:rFonts w:ascii="Arial" w:hAnsi="Arial" w:cs="Arial"/>
        </w:rPr>
        <w:t xml:space="preserve">uno de los elementos necesarios </w:t>
      </w:r>
      <w:r w:rsidR="009F147F">
        <w:rPr>
          <w:rFonts w:ascii="Arial" w:hAnsi="Arial" w:cs="Arial"/>
        </w:rPr>
        <w:t xml:space="preserve">e imprescindibles </w:t>
      </w:r>
      <w:r w:rsidR="00AE1FB1">
        <w:rPr>
          <w:rFonts w:ascii="Arial" w:hAnsi="Arial" w:cs="Arial"/>
        </w:rPr>
        <w:t>es</w:t>
      </w:r>
      <w:r>
        <w:rPr>
          <w:rFonts w:ascii="Arial" w:hAnsi="Arial" w:cs="Arial"/>
        </w:rPr>
        <w:t xml:space="preserve"> probar la existencia de </w:t>
      </w:r>
      <w:r w:rsidR="00AE1FB1">
        <w:rPr>
          <w:rFonts w:ascii="Arial" w:hAnsi="Arial" w:cs="Arial"/>
        </w:rPr>
        <w:t>esa</w:t>
      </w:r>
      <w:r>
        <w:rPr>
          <w:rFonts w:ascii="Arial" w:hAnsi="Arial" w:cs="Arial"/>
        </w:rPr>
        <w:t xml:space="preserve"> violencia política contra ellas, lo </w:t>
      </w:r>
      <w:r w:rsidR="009F147F">
        <w:rPr>
          <w:rFonts w:ascii="Arial" w:hAnsi="Arial" w:cs="Arial"/>
        </w:rPr>
        <w:t>cual,</w:t>
      </w:r>
      <w:r>
        <w:rPr>
          <w:rFonts w:ascii="Arial" w:hAnsi="Arial" w:cs="Arial"/>
        </w:rPr>
        <w:t xml:space="preserve"> ha acarreado que las autoridades que juzgan tengan la labor compleja </w:t>
      </w:r>
      <w:r w:rsidRPr="00AE1FB1">
        <w:rPr>
          <w:rFonts w:ascii="Arial" w:hAnsi="Arial" w:cs="Arial"/>
        </w:rPr>
        <w:t xml:space="preserve">de analizar las pruebas que </w:t>
      </w:r>
      <w:r w:rsidR="00B7424B">
        <w:rPr>
          <w:rFonts w:ascii="Arial" w:hAnsi="Arial" w:cs="Arial"/>
        </w:rPr>
        <w:t xml:space="preserve">aportan </w:t>
      </w:r>
      <w:r w:rsidRPr="00AE1FB1">
        <w:rPr>
          <w:rFonts w:ascii="Arial" w:hAnsi="Arial" w:cs="Arial"/>
        </w:rPr>
        <w:t xml:space="preserve">ambas partes </w:t>
      </w:r>
      <w:r w:rsidR="00AE1FB1" w:rsidRPr="00AE1FB1">
        <w:rPr>
          <w:rFonts w:ascii="Arial" w:hAnsi="Arial" w:cs="Arial"/>
        </w:rPr>
        <w:t xml:space="preserve">ya sea para acreditarla o desvirtuarla. </w:t>
      </w:r>
    </w:p>
    <w:p w14:paraId="7BC9B136" w14:textId="03A0675F" w:rsidR="00AA1564" w:rsidRDefault="00AA1564" w:rsidP="00931C1C">
      <w:pPr>
        <w:spacing w:line="360" w:lineRule="auto"/>
        <w:ind w:right="49"/>
        <w:jc w:val="both"/>
        <w:rPr>
          <w:rFonts w:ascii="Arial" w:hAnsi="Arial" w:cs="Arial"/>
        </w:rPr>
      </w:pPr>
    </w:p>
    <w:p w14:paraId="3BAA59A4" w14:textId="5532E6A9" w:rsidR="00AA1564" w:rsidRDefault="00AA1564" w:rsidP="00931C1C">
      <w:pPr>
        <w:spacing w:line="360" w:lineRule="auto"/>
        <w:ind w:right="49"/>
        <w:jc w:val="both"/>
        <w:rPr>
          <w:rFonts w:ascii="Arial" w:hAnsi="Arial" w:cs="Arial"/>
        </w:rPr>
      </w:pPr>
      <w:r>
        <w:rPr>
          <w:rFonts w:ascii="Arial" w:hAnsi="Arial" w:cs="Arial"/>
        </w:rPr>
        <w:lastRenderedPageBreak/>
        <w:t xml:space="preserve">Por esa razón, en el año 2020 la Sala Superior del Tribunal Electoral del Poder Judicial de la Federación </w:t>
      </w:r>
      <w:r w:rsidR="009F147F">
        <w:rPr>
          <w:rFonts w:ascii="Arial" w:hAnsi="Arial" w:cs="Arial"/>
        </w:rPr>
        <w:t xml:space="preserve">(TEPJF) </w:t>
      </w:r>
      <w:r>
        <w:rPr>
          <w:rFonts w:ascii="Arial" w:hAnsi="Arial" w:cs="Arial"/>
        </w:rPr>
        <w:t xml:space="preserve">generó diversas sentencias </w:t>
      </w:r>
      <w:r w:rsidR="00AE1FB1">
        <w:rPr>
          <w:rFonts w:ascii="Arial" w:hAnsi="Arial" w:cs="Arial"/>
        </w:rPr>
        <w:t xml:space="preserve">que se identifican por haber </w:t>
      </w:r>
      <w:r w:rsidR="009F147F">
        <w:rPr>
          <w:rFonts w:ascii="Arial" w:hAnsi="Arial" w:cs="Arial"/>
        </w:rPr>
        <w:t>creado</w:t>
      </w:r>
      <w:r w:rsidR="00AE1FB1">
        <w:rPr>
          <w:rFonts w:ascii="Arial" w:hAnsi="Arial" w:cs="Arial"/>
        </w:rPr>
        <w:t xml:space="preserve"> un criterio </w:t>
      </w:r>
      <w:r w:rsidR="009F147F">
        <w:rPr>
          <w:rFonts w:ascii="Arial" w:hAnsi="Arial" w:cs="Arial"/>
        </w:rPr>
        <w:t>que</w:t>
      </w:r>
      <w:r w:rsidR="00AE1FB1">
        <w:rPr>
          <w:rFonts w:ascii="Arial" w:hAnsi="Arial" w:cs="Arial"/>
        </w:rPr>
        <w:t xml:space="preserve"> establece el </w:t>
      </w:r>
      <w:r w:rsidRPr="00AA1564">
        <w:rPr>
          <w:rFonts w:ascii="Arial" w:hAnsi="Arial" w:cs="Arial"/>
        </w:rPr>
        <w:t>estándar reforzado de valor probatorio</w:t>
      </w:r>
      <w:r w:rsidR="00AE1FB1">
        <w:rPr>
          <w:rFonts w:ascii="Arial" w:hAnsi="Arial" w:cs="Arial"/>
        </w:rPr>
        <w:t xml:space="preserve"> en los casos de </w:t>
      </w:r>
      <w:r w:rsidR="009F147F">
        <w:rPr>
          <w:rFonts w:ascii="Arial" w:hAnsi="Arial" w:cs="Arial"/>
        </w:rPr>
        <w:t>VPG.</w:t>
      </w:r>
      <w:r w:rsidR="00AE1FB1">
        <w:rPr>
          <w:rFonts w:ascii="Arial" w:hAnsi="Arial" w:cs="Arial"/>
        </w:rPr>
        <w:t xml:space="preserve"> </w:t>
      </w:r>
    </w:p>
    <w:p w14:paraId="4B8900E6" w14:textId="61F45CDB" w:rsidR="00AE1FB1" w:rsidRDefault="00AE1FB1" w:rsidP="00931C1C">
      <w:pPr>
        <w:spacing w:line="360" w:lineRule="auto"/>
        <w:ind w:right="49"/>
        <w:jc w:val="both"/>
        <w:rPr>
          <w:rFonts w:ascii="Arial" w:hAnsi="Arial" w:cs="Arial"/>
        </w:rPr>
      </w:pPr>
    </w:p>
    <w:p w14:paraId="769B2D93" w14:textId="09FF75AC" w:rsidR="00AE1FB1" w:rsidRDefault="00D3399B" w:rsidP="00931C1C">
      <w:pPr>
        <w:spacing w:line="360" w:lineRule="auto"/>
        <w:ind w:right="49"/>
        <w:jc w:val="both"/>
        <w:rPr>
          <w:rFonts w:ascii="Arial" w:hAnsi="Arial" w:cs="Arial"/>
        </w:rPr>
      </w:pPr>
      <w:r>
        <w:rPr>
          <w:rFonts w:ascii="Arial" w:hAnsi="Arial" w:cs="Arial"/>
        </w:rPr>
        <w:t>Estas resoluciones son la materia de análisis de este texto, en el</w:t>
      </w:r>
      <w:r w:rsidR="00E73FC1">
        <w:rPr>
          <w:rFonts w:ascii="Arial" w:hAnsi="Arial" w:cs="Arial"/>
        </w:rPr>
        <w:t xml:space="preserve"> que</w:t>
      </w:r>
      <w:r>
        <w:rPr>
          <w:rFonts w:ascii="Arial" w:hAnsi="Arial" w:cs="Arial"/>
        </w:rPr>
        <w:t xml:space="preserve"> se pretenden </w:t>
      </w:r>
      <w:r w:rsidR="00E73FC1">
        <w:rPr>
          <w:rFonts w:ascii="Arial" w:hAnsi="Arial" w:cs="Arial"/>
        </w:rPr>
        <w:t>referir</w:t>
      </w:r>
      <w:r>
        <w:rPr>
          <w:rFonts w:ascii="Arial" w:hAnsi="Arial" w:cs="Arial"/>
        </w:rPr>
        <w:t xml:space="preserve"> los diferentes alcances y características que ha tenido ese estándar reforzado </w:t>
      </w:r>
      <w:r w:rsidR="009F147F">
        <w:rPr>
          <w:rFonts w:ascii="Arial" w:hAnsi="Arial" w:cs="Arial"/>
        </w:rPr>
        <w:t>a</w:t>
      </w:r>
      <w:r>
        <w:rPr>
          <w:rFonts w:ascii="Arial" w:hAnsi="Arial" w:cs="Arial"/>
        </w:rPr>
        <w:t>l análisis probatorio</w:t>
      </w:r>
      <w:r w:rsidR="00E73FC1">
        <w:rPr>
          <w:rFonts w:ascii="Arial" w:hAnsi="Arial" w:cs="Arial"/>
        </w:rPr>
        <w:t xml:space="preserve">. </w:t>
      </w:r>
      <w:r w:rsidR="00E74BE2">
        <w:rPr>
          <w:rFonts w:ascii="Arial" w:hAnsi="Arial" w:cs="Arial"/>
        </w:rPr>
        <w:t>Porque c</w:t>
      </w:r>
      <w:r w:rsidR="00E73FC1">
        <w:rPr>
          <w:rFonts w:ascii="Arial" w:hAnsi="Arial" w:cs="Arial"/>
        </w:rPr>
        <w:t xml:space="preserve">on esas decisiones se ha iniciado una línea jurisprudencial paralela dentro de las sentencias relacionadas con la VPG, </w:t>
      </w:r>
      <w:r>
        <w:rPr>
          <w:rFonts w:ascii="Arial" w:hAnsi="Arial" w:cs="Arial"/>
        </w:rPr>
        <w:t xml:space="preserve">que traen detrás </w:t>
      </w:r>
      <w:r w:rsidR="009F147F">
        <w:rPr>
          <w:rFonts w:ascii="Arial" w:hAnsi="Arial" w:cs="Arial"/>
        </w:rPr>
        <w:t xml:space="preserve">una lectura de la teoría de la prueba y que acarrean, </w:t>
      </w:r>
      <w:r>
        <w:rPr>
          <w:rFonts w:ascii="Arial" w:hAnsi="Arial" w:cs="Arial"/>
        </w:rPr>
        <w:t xml:space="preserve">nada más que, en primera instancia dar voz y proteger a las víctimas, y en segundo lugar el poder abonar a su erradicación y sanción. </w:t>
      </w:r>
    </w:p>
    <w:p w14:paraId="38F5990E" w14:textId="4BB020A7" w:rsidR="006F70FE" w:rsidRDefault="006F70FE" w:rsidP="006F70FE">
      <w:pPr>
        <w:spacing w:line="360" w:lineRule="auto"/>
        <w:ind w:right="49"/>
        <w:jc w:val="both"/>
        <w:rPr>
          <w:rFonts w:ascii="Arial" w:hAnsi="Arial" w:cs="Arial"/>
        </w:rPr>
      </w:pPr>
    </w:p>
    <w:p w14:paraId="0B922B97" w14:textId="30EFE5B4" w:rsidR="00B73F06" w:rsidRDefault="009F147F" w:rsidP="006F70FE">
      <w:pPr>
        <w:spacing w:line="360" w:lineRule="auto"/>
        <w:ind w:right="49"/>
        <w:jc w:val="both"/>
        <w:rPr>
          <w:rFonts w:ascii="Arial" w:hAnsi="Arial" w:cs="Arial"/>
        </w:rPr>
      </w:pPr>
      <w:r>
        <w:rPr>
          <w:rFonts w:ascii="Arial" w:hAnsi="Arial" w:cs="Arial"/>
        </w:rPr>
        <w:t>Se trata de un</w:t>
      </w:r>
      <w:r w:rsidR="00E74BE2">
        <w:rPr>
          <w:rFonts w:ascii="Arial" w:hAnsi="Arial" w:cs="Arial"/>
        </w:rPr>
        <w:t xml:space="preserve"> escenario construido </w:t>
      </w:r>
      <w:r w:rsidR="00B73F06">
        <w:rPr>
          <w:rFonts w:ascii="Arial" w:hAnsi="Arial" w:cs="Arial"/>
        </w:rPr>
        <w:t xml:space="preserve">debido a que </w:t>
      </w:r>
      <w:r w:rsidR="00B73F06" w:rsidRPr="006F70FE">
        <w:rPr>
          <w:rFonts w:ascii="Arial" w:hAnsi="Arial" w:cs="Arial"/>
        </w:rPr>
        <w:t xml:space="preserve">la </w:t>
      </w:r>
      <w:r>
        <w:rPr>
          <w:rFonts w:ascii="Arial" w:hAnsi="Arial" w:cs="Arial"/>
        </w:rPr>
        <w:t>VPG</w:t>
      </w:r>
      <w:r w:rsidR="00B73F06" w:rsidRPr="006F70FE">
        <w:rPr>
          <w:rFonts w:ascii="Arial" w:hAnsi="Arial" w:cs="Arial"/>
        </w:rPr>
        <w:t xml:space="preserve"> en los años recientes</w:t>
      </w:r>
      <w:r w:rsidR="00B73F06">
        <w:rPr>
          <w:rFonts w:ascii="Arial" w:hAnsi="Arial" w:cs="Arial"/>
        </w:rPr>
        <w:t xml:space="preserve"> ha visibilizado su presencia permanente y de forma transversal, generalmente, ante más mujeres que buscan o están en cargos públicos, </w:t>
      </w:r>
      <w:r w:rsidR="00E74BE2">
        <w:rPr>
          <w:rFonts w:ascii="Arial" w:hAnsi="Arial" w:cs="Arial"/>
        </w:rPr>
        <w:t xml:space="preserve">y </w:t>
      </w:r>
      <w:r w:rsidR="00B73F06">
        <w:rPr>
          <w:rFonts w:ascii="Arial" w:hAnsi="Arial" w:cs="Arial"/>
        </w:rPr>
        <w:t>en espacios importantes de toma de decisiones</w:t>
      </w:r>
      <w:r w:rsidR="00E74BE2">
        <w:rPr>
          <w:rFonts w:ascii="Arial" w:hAnsi="Arial" w:cs="Arial"/>
        </w:rPr>
        <w:t xml:space="preserve">, pues se mira un fin común que busca </w:t>
      </w:r>
      <w:r w:rsidR="00B73F06" w:rsidRPr="006F70FE">
        <w:rPr>
          <w:rFonts w:ascii="Arial" w:hAnsi="Arial" w:cs="Arial"/>
        </w:rPr>
        <w:t xml:space="preserve">mantener de facto </w:t>
      </w:r>
      <w:r w:rsidR="00996752">
        <w:rPr>
          <w:rFonts w:ascii="Arial" w:hAnsi="Arial" w:cs="Arial"/>
        </w:rPr>
        <w:t>el</w:t>
      </w:r>
      <w:r w:rsidR="00B73F06" w:rsidRPr="006F70FE">
        <w:rPr>
          <w:rFonts w:ascii="Arial" w:hAnsi="Arial" w:cs="Arial"/>
        </w:rPr>
        <w:t xml:space="preserve"> </w:t>
      </w:r>
      <w:proofErr w:type="spellStart"/>
      <w:r w:rsidR="00B73F06" w:rsidRPr="00E74BE2">
        <w:rPr>
          <w:rFonts w:ascii="Arial" w:hAnsi="Arial" w:cs="Arial"/>
          <w:i/>
          <w:iCs/>
        </w:rPr>
        <w:t>status</w:t>
      </w:r>
      <w:proofErr w:type="spellEnd"/>
      <w:r w:rsidR="00B73F06" w:rsidRPr="00E74BE2">
        <w:rPr>
          <w:rFonts w:ascii="Arial" w:hAnsi="Arial" w:cs="Arial"/>
          <w:i/>
          <w:iCs/>
        </w:rPr>
        <w:t xml:space="preserve"> quo</w:t>
      </w:r>
      <w:r w:rsidR="00B73F06" w:rsidRPr="006F70FE">
        <w:rPr>
          <w:rFonts w:ascii="Arial" w:hAnsi="Arial" w:cs="Arial"/>
        </w:rPr>
        <w:t xml:space="preserve"> </w:t>
      </w:r>
      <w:r w:rsidR="00996752">
        <w:rPr>
          <w:rFonts w:ascii="Arial" w:hAnsi="Arial" w:cs="Arial"/>
        </w:rPr>
        <w:t xml:space="preserve">de los actores tradicionales en el poder, </w:t>
      </w:r>
      <w:r>
        <w:rPr>
          <w:rFonts w:ascii="Arial" w:hAnsi="Arial" w:cs="Arial"/>
        </w:rPr>
        <w:t>lo cual</w:t>
      </w:r>
      <w:r w:rsidR="00996752">
        <w:rPr>
          <w:rFonts w:ascii="Arial" w:hAnsi="Arial" w:cs="Arial"/>
        </w:rPr>
        <w:t xml:space="preserve"> </w:t>
      </w:r>
      <w:r w:rsidR="00E74BE2" w:rsidRPr="006F70FE">
        <w:rPr>
          <w:rFonts w:ascii="Arial" w:hAnsi="Arial" w:cs="Arial"/>
        </w:rPr>
        <w:t>implica</w:t>
      </w:r>
      <w:r>
        <w:rPr>
          <w:rFonts w:ascii="Arial" w:hAnsi="Arial" w:cs="Arial"/>
        </w:rPr>
        <w:t>,</w:t>
      </w:r>
      <w:r w:rsidR="00E74BE2" w:rsidRPr="006F70FE">
        <w:rPr>
          <w:rFonts w:ascii="Arial" w:hAnsi="Arial" w:cs="Arial"/>
        </w:rPr>
        <w:t xml:space="preserve"> </w:t>
      </w:r>
      <w:r w:rsidR="00E74BE2">
        <w:rPr>
          <w:rFonts w:ascii="Arial" w:hAnsi="Arial" w:cs="Arial"/>
        </w:rPr>
        <w:t xml:space="preserve">que no han sido superadas las estructuras enraizadas </w:t>
      </w:r>
      <w:r>
        <w:rPr>
          <w:rFonts w:ascii="Arial" w:hAnsi="Arial" w:cs="Arial"/>
        </w:rPr>
        <w:t xml:space="preserve">de tipo </w:t>
      </w:r>
      <w:r w:rsidR="00E74BE2">
        <w:rPr>
          <w:rFonts w:ascii="Arial" w:hAnsi="Arial" w:cs="Arial"/>
        </w:rPr>
        <w:t>patriarcal</w:t>
      </w:r>
      <w:r>
        <w:rPr>
          <w:rFonts w:ascii="Arial" w:hAnsi="Arial" w:cs="Arial"/>
        </w:rPr>
        <w:t xml:space="preserve"> en la cultural de la sociedad. </w:t>
      </w:r>
    </w:p>
    <w:p w14:paraId="2142B327" w14:textId="77777777" w:rsidR="006F70FE" w:rsidRDefault="006F70FE" w:rsidP="006F70FE">
      <w:pPr>
        <w:spacing w:line="360" w:lineRule="auto"/>
        <w:ind w:right="49"/>
        <w:jc w:val="both"/>
        <w:rPr>
          <w:rFonts w:ascii="Arial" w:hAnsi="Arial" w:cs="Arial"/>
        </w:rPr>
      </w:pPr>
    </w:p>
    <w:p w14:paraId="2D487319" w14:textId="0984F7CF" w:rsidR="006F70FE" w:rsidRDefault="006F70FE" w:rsidP="006F70FE">
      <w:pPr>
        <w:spacing w:line="360" w:lineRule="auto"/>
        <w:ind w:right="49"/>
        <w:jc w:val="both"/>
        <w:rPr>
          <w:rFonts w:ascii="Arial" w:hAnsi="Arial" w:cs="Arial"/>
          <w:b/>
          <w:bCs/>
        </w:rPr>
      </w:pPr>
      <w:r w:rsidRPr="006F70FE">
        <w:rPr>
          <w:rFonts w:ascii="Arial" w:hAnsi="Arial" w:cs="Arial"/>
          <w:b/>
          <w:bCs/>
        </w:rPr>
        <w:t>II. La violencia política por razón de género como un acto de discriminación.</w:t>
      </w:r>
    </w:p>
    <w:p w14:paraId="4D237386" w14:textId="3CB23BBE" w:rsidR="002F3189" w:rsidRDefault="002F3189" w:rsidP="006F70FE">
      <w:pPr>
        <w:spacing w:line="360" w:lineRule="auto"/>
        <w:ind w:right="49"/>
        <w:jc w:val="both"/>
        <w:rPr>
          <w:rFonts w:ascii="Arial" w:hAnsi="Arial" w:cs="Arial"/>
          <w:b/>
          <w:bCs/>
        </w:rPr>
      </w:pPr>
    </w:p>
    <w:p w14:paraId="049F2378" w14:textId="7782D0DA" w:rsidR="00F040C8" w:rsidRPr="00F040C8" w:rsidRDefault="00F040C8" w:rsidP="006F70FE">
      <w:pPr>
        <w:spacing w:line="360" w:lineRule="auto"/>
        <w:ind w:right="49"/>
        <w:jc w:val="both"/>
        <w:rPr>
          <w:rFonts w:ascii="Arial" w:hAnsi="Arial" w:cs="Arial"/>
          <w:b/>
          <w:bCs/>
        </w:rPr>
      </w:pPr>
      <w:r w:rsidRPr="00F040C8">
        <w:rPr>
          <w:rFonts w:ascii="Arial" w:hAnsi="Arial" w:cs="Arial"/>
          <w:b/>
          <w:bCs/>
        </w:rPr>
        <w:t>Principio de igualdad y no discriminación.</w:t>
      </w:r>
    </w:p>
    <w:p w14:paraId="709341D7" w14:textId="77777777" w:rsidR="00F040C8" w:rsidRDefault="00F040C8" w:rsidP="006F70FE">
      <w:pPr>
        <w:spacing w:line="360" w:lineRule="auto"/>
        <w:ind w:right="49"/>
        <w:jc w:val="both"/>
        <w:rPr>
          <w:rFonts w:ascii="Arial" w:hAnsi="Arial" w:cs="Arial"/>
        </w:rPr>
      </w:pPr>
    </w:p>
    <w:p w14:paraId="1CAAB56D" w14:textId="5CCB76F3" w:rsidR="00DD7250" w:rsidRDefault="00DD7250" w:rsidP="006F70FE">
      <w:pPr>
        <w:spacing w:line="360" w:lineRule="auto"/>
        <w:ind w:right="49"/>
        <w:jc w:val="both"/>
        <w:rPr>
          <w:rFonts w:ascii="Arial" w:hAnsi="Arial" w:cs="Arial"/>
        </w:rPr>
      </w:pPr>
      <w:r w:rsidRPr="00DD7250">
        <w:rPr>
          <w:rFonts w:ascii="Arial" w:hAnsi="Arial" w:cs="Arial"/>
        </w:rPr>
        <w:t>Cualquier expresión que oprima o humille es discriminatoria, y no se considera, ni si</w:t>
      </w:r>
      <w:r w:rsidR="00996752">
        <w:rPr>
          <w:rFonts w:ascii="Arial" w:hAnsi="Arial" w:cs="Arial"/>
        </w:rPr>
        <w:t>q</w:t>
      </w:r>
      <w:r w:rsidRPr="00DD7250">
        <w:rPr>
          <w:rFonts w:ascii="Arial" w:hAnsi="Arial" w:cs="Arial"/>
        </w:rPr>
        <w:t>uiera como una mínima opinión.</w:t>
      </w:r>
      <w:r w:rsidR="00996752">
        <w:rPr>
          <w:rFonts w:ascii="Arial" w:hAnsi="Arial" w:cs="Arial"/>
        </w:rPr>
        <w:t xml:space="preserve"> De igual forma, cualquier acto que tenga la intención de menoscabar, perjudicar o negar a una persona por el solo hecho de ser con sus propias características y circunstancias en la sociedad, también es discriminación. </w:t>
      </w:r>
    </w:p>
    <w:p w14:paraId="1CA00C4C" w14:textId="77777777" w:rsidR="00996752" w:rsidRDefault="00996752" w:rsidP="006F70FE">
      <w:pPr>
        <w:spacing w:line="360" w:lineRule="auto"/>
        <w:ind w:right="49"/>
        <w:jc w:val="both"/>
        <w:rPr>
          <w:rFonts w:ascii="Arial" w:hAnsi="Arial" w:cs="Arial"/>
        </w:rPr>
      </w:pPr>
    </w:p>
    <w:p w14:paraId="2F375EF7" w14:textId="393AF8AC" w:rsidR="00996752" w:rsidRDefault="00996752" w:rsidP="006F70FE">
      <w:pPr>
        <w:spacing w:line="360" w:lineRule="auto"/>
        <w:ind w:right="49"/>
        <w:jc w:val="both"/>
        <w:rPr>
          <w:rFonts w:ascii="Arial" w:hAnsi="Arial" w:cs="Arial"/>
        </w:rPr>
      </w:pPr>
      <w:r>
        <w:rPr>
          <w:rFonts w:ascii="Arial" w:hAnsi="Arial" w:cs="Arial"/>
        </w:rPr>
        <w:lastRenderedPageBreak/>
        <w:t>Así, discriminar implica</w:t>
      </w:r>
      <w:r w:rsidR="00E73254">
        <w:rPr>
          <w:rFonts w:ascii="Arial" w:hAnsi="Arial" w:cs="Arial"/>
        </w:rPr>
        <w:t xml:space="preserve">, en principio, un ejercicio de vulneración a la igualdad formal y sustantiva, así como una transgresión al respeto que merecen todas las personas, y, en segundo término, la violación a cualquier derecho humano, además del de igualdad. </w:t>
      </w:r>
    </w:p>
    <w:p w14:paraId="5ACA3FC3" w14:textId="77777777" w:rsidR="00E73254" w:rsidRDefault="00E73254" w:rsidP="00E73254">
      <w:pPr>
        <w:spacing w:line="360" w:lineRule="auto"/>
        <w:jc w:val="both"/>
        <w:rPr>
          <w:rFonts w:ascii="Arial" w:hAnsi="Arial" w:cs="Arial"/>
          <w:b/>
          <w:lang w:eastAsia="en-US"/>
        </w:rPr>
      </w:pPr>
    </w:p>
    <w:p w14:paraId="552A2632" w14:textId="27DD8695" w:rsidR="00E73254" w:rsidRDefault="00E73254" w:rsidP="00E73254">
      <w:pPr>
        <w:spacing w:line="360" w:lineRule="auto"/>
        <w:jc w:val="both"/>
        <w:rPr>
          <w:rFonts w:ascii="Arial" w:hAnsi="Arial" w:cs="Arial"/>
          <w:bCs/>
        </w:rPr>
      </w:pPr>
      <w:r>
        <w:rPr>
          <w:rFonts w:ascii="Arial" w:hAnsi="Arial" w:cs="Arial"/>
          <w:bCs/>
        </w:rPr>
        <w:t xml:space="preserve">La normatividad relacionada con la igualdad y la no discriminación, está sustentada en la Constitución Política de los Estados Unidos Mexicanos, </w:t>
      </w:r>
      <w:r w:rsidR="00B7424B">
        <w:rPr>
          <w:rFonts w:ascii="Arial" w:hAnsi="Arial" w:cs="Arial"/>
          <w:bCs/>
        </w:rPr>
        <w:t xml:space="preserve">que </w:t>
      </w:r>
      <w:r>
        <w:rPr>
          <w:rFonts w:ascii="Arial" w:hAnsi="Arial" w:cs="Arial"/>
          <w:bCs/>
        </w:rPr>
        <w:t xml:space="preserve">prohíbe toda </w:t>
      </w:r>
      <w:r w:rsidRPr="00401E46">
        <w:rPr>
          <w:rFonts w:ascii="Arial" w:hAnsi="Arial" w:cs="Arial"/>
          <w:b/>
          <w:bCs/>
        </w:rPr>
        <w:t>discriminación</w:t>
      </w:r>
      <w:r>
        <w:rPr>
          <w:rFonts w:ascii="Arial" w:hAnsi="Arial" w:cs="Arial"/>
          <w:bCs/>
        </w:rPr>
        <w:t xml:space="preserve"> motivada por origen étnico o nacional, el género, […] que atente contra la dignidad humana y tenga por objeto anular o menoscabar los derechos y libertades de las personas</w:t>
      </w:r>
      <w:r w:rsidR="00DF1F72">
        <w:rPr>
          <w:rFonts w:ascii="Arial" w:hAnsi="Arial" w:cs="Arial"/>
          <w:bCs/>
        </w:rPr>
        <w:t xml:space="preserve"> (CPEUM, art</w:t>
      </w:r>
      <w:r w:rsidR="00D7033D">
        <w:rPr>
          <w:rFonts w:ascii="Arial" w:hAnsi="Arial" w:cs="Arial"/>
          <w:bCs/>
        </w:rPr>
        <w:t>ículo</w:t>
      </w:r>
      <w:r w:rsidR="00DF1F72">
        <w:rPr>
          <w:rFonts w:ascii="Arial" w:hAnsi="Arial" w:cs="Arial"/>
          <w:bCs/>
        </w:rPr>
        <w:t xml:space="preserve"> 1</w:t>
      </w:r>
      <w:r w:rsidR="00D7033D">
        <w:rPr>
          <w:rFonts w:ascii="Arial" w:hAnsi="Arial" w:cs="Arial"/>
          <w:bCs/>
        </w:rPr>
        <w:t>, párrafo quinto</w:t>
      </w:r>
      <w:r w:rsidR="00DF1F72">
        <w:rPr>
          <w:rFonts w:ascii="Arial" w:hAnsi="Arial" w:cs="Arial"/>
          <w:bCs/>
        </w:rPr>
        <w:t>)</w:t>
      </w:r>
      <w:r w:rsidR="00D7033D">
        <w:rPr>
          <w:rFonts w:ascii="Arial" w:hAnsi="Arial" w:cs="Arial"/>
          <w:bCs/>
        </w:rPr>
        <w:t>.</w:t>
      </w:r>
    </w:p>
    <w:p w14:paraId="75600127" w14:textId="77777777" w:rsidR="00E73254" w:rsidRDefault="00E73254" w:rsidP="00E73254">
      <w:pPr>
        <w:spacing w:line="360" w:lineRule="auto"/>
        <w:jc w:val="both"/>
        <w:rPr>
          <w:rFonts w:ascii="Arial" w:hAnsi="Arial" w:cs="Arial"/>
          <w:bCs/>
        </w:rPr>
      </w:pPr>
    </w:p>
    <w:p w14:paraId="128FF6B0" w14:textId="5B80775D" w:rsidR="00E73254" w:rsidRDefault="00E73254" w:rsidP="00E73254">
      <w:pPr>
        <w:spacing w:line="360" w:lineRule="auto"/>
        <w:jc w:val="both"/>
        <w:rPr>
          <w:rFonts w:ascii="Arial" w:hAnsi="Arial" w:cs="Arial"/>
        </w:rPr>
      </w:pPr>
      <w:r>
        <w:rPr>
          <w:rFonts w:ascii="Arial" w:hAnsi="Arial" w:cs="Arial"/>
          <w:bCs/>
        </w:rPr>
        <w:t xml:space="preserve">Por su parte la </w:t>
      </w:r>
      <w:r w:rsidRPr="0092228E">
        <w:rPr>
          <w:rFonts w:ascii="Arial" w:hAnsi="Arial" w:cs="Arial"/>
          <w:bCs/>
        </w:rPr>
        <w:t>Ley Federal para Prevenir y Eliminar la Discriminación</w:t>
      </w:r>
      <w:r>
        <w:rPr>
          <w:rFonts w:ascii="Arial" w:hAnsi="Arial" w:cs="Arial"/>
          <w:bCs/>
        </w:rPr>
        <w:t xml:space="preserve"> </w:t>
      </w:r>
      <w:r>
        <w:rPr>
          <w:rFonts w:ascii="Arial" w:hAnsi="Arial" w:cs="Arial"/>
        </w:rPr>
        <w:t xml:space="preserve">prohíbe en su artículo cuarto, </w:t>
      </w:r>
      <w:r w:rsidRPr="0049042C">
        <w:rPr>
          <w:rFonts w:ascii="Arial" w:hAnsi="Arial" w:cs="Arial"/>
        </w:rPr>
        <w:t xml:space="preserve">toda práctica </w:t>
      </w:r>
      <w:r w:rsidRPr="00F040C8">
        <w:rPr>
          <w:rFonts w:ascii="Arial" w:hAnsi="Arial" w:cs="Arial"/>
          <w:bCs/>
        </w:rPr>
        <w:t xml:space="preserve">discriminatoria </w:t>
      </w:r>
      <w:r w:rsidRPr="0049042C">
        <w:rPr>
          <w:rFonts w:ascii="Arial" w:hAnsi="Arial" w:cs="Arial"/>
        </w:rPr>
        <w:t>que tenga por objeto o efecto impedir o anular el reconocimiento o ejercicio de los derechos y la igualdad real de oportunidades</w:t>
      </w:r>
      <w:r w:rsidR="00D7033D">
        <w:rPr>
          <w:rFonts w:ascii="Arial" w:hAnsi="Arial" w:cs="Arial"/>
        </w:rPr>
        <w:t xml:space="preserve"> (LFPED</w:t>
      </w:r>
      <w:r w:rsidR="00C10C50">
        <w:rPr>
          <w:rFonts w:ascii="Arial" w:hAnsi="Arial" w:cs="Arial"/>
        </w:rPr>
        <w:t xml:space="preserve">, artículo 4). </w:t>
      </w:r>
    </w:p>
    <w:p w14:paraId="65B313F7" w14:textId="77777777" w:rsidR="00E73254" w:rsidRPr="008F3025" w:rsidRDefault="00E73254" w:rsidP="00E73254">
      <w:pPr>
        <w:spacing w:line="360" w:lineRule="auto"/>
        <w:jc w:val="both"/>
        <w:rPr>
          <w:rFonts w:ascii="Arial" w:hAnsi="Arial" w:cs="Arial"/>
        </w:rPr>
      </w:pPr>
    </w:p>
    <w:p w14:paraId="2C05D2D3" w14:textId="0325B314" w:rsidR="00E73254" w:rsidRDefault="00E73254" w:rsidP="00E73254">
      <w:pPr>
        <w:spacing w:line="360" w:lineRule="auto"/>
        <w:jc w:val="both"/>
        <w:rPr>
          <w:rFonts w:ascii="Arial" w:hAnsi="Arial" w:cs="Arial"/>
        </w:rPr>
      </w:pPr>
      <w:r>
        <w:rPr>
          <w:rFonts w:ascii="Arial" w:hAnsi="Arial" w:cs="Arial"/>
        </w:rPr>
        <w:t>Esa</w:t>
      </w:r>
      <w:r w:rsidRPr="008F3025">
        <w:rPr>
          <w:rFonts w:ascii="Arial" w:hAnsi="Arial" w:cs="Arial"/>
        </w:rPr>
        <w:t xml:space="preserve"> discriminación</w:t>
      </w:r>
      <w:r>
        <w:rPr>
          <w:rFonts w:ascii="Arial" w:hAnsi="Arial" w:cs="Arial"/>
        </w:rPr>
        <w:t xml:space="preserve"> </w:t>
      </w:r>
      <w:r w:rsidR="007F4451">
        <w:rPr>
          <w:rFonts w:ascii="Arial" w:hAnsi="Arial" w:cs="Arial"/>
        </w:rPr>
        <w:t xml:space="preserve">definida en Convenciones internacionales </w:t>
      </w:r>
      <w:r>
        <w:rPr>
          <w:rFonts w:ascii="Arial" w:hAnsi="Arial" w:cs="Arial"/>
        </w:rPr>
        <w:t>es</w:t>
      </w:r>
      <w:r w:rsidRPr="008F3025">
        <w:rPr>
          <w:rFonts w:ascii="Arial" w:hAnsi="Arial" w:cs="Arial"/>
        </w:rPr>
        <w:t xml:space="preserve"> “toda distinción, exclusión, restricción o preferencia que se basen en motivos, como </w:t>
      </w:r>
      <w:r>
        <w:rPr>
          <w:rFonts w:ascii="Arial" w:hAnsi="Arial" w:cs="Arial"/>
        </w:rPr>
        <w:t xml:space="preserve">[...] </w:t>
      </w:r>
      <w:r w:rsidRPr="008F3025">
        <w:rPr>
          <w:rFonts w:ascii="Arial" w:hAnsi="Arial" w:cs="Arial"/>
        </w:rPr>
        <w:t xml:space="preserve">el sexo, </w:t>
      </w:r>
      <w:r>
        <w:rPr>
          <w:rFonts w:ascii="Arial" w:hAnsi="Arial" w:cs="Arial"/>
        </w:rPr>
        <w:t>[…]</w:t>
      </w:r>
      <w:r w:rsidRPr="008F3025">
        <w:rPr>
          <w:rFonts w:ascii="Arial" w:hAnsi="Arial" w:cs="Arial"/>
        </w:rPr>
        <w:t xml:space="preserve"> el origen nacional o social,</w:t>
      </w:r>
      <w:r>
        <w:rPr>
          <w:rFonts w:ascii="Arial" w:hAnsi="Arial" w:cs="Arial"/>
        </w:rPr>
        <w:t xml:space="preserve"> </w:t>
      </w:r>
      <w:r w:rsidRPr="008F3025">
        <w:rPr>
          <w:rFonts w:ascii="Arial" w:hAnsi="Arial" w:cs="Arial"/>
        </w:rPr>
        <w:t xml:space="preserve">[…] y que tengan por </w:t>
      </w:r>
      <w:r>
        <w:rPr>
          <w:rFonts w:ascii="Arial" w:hAnsi="Arial" w:cs="Arial"/>
        </w:rPr>
        <w:t>fin</w:t>
      </w:r>
      <w:r w:rsidRPr="008F3025">
        <w:rPr>
          <w:rFonts w:ascii="Arial" w:hAnsi="Arial" w:cs="Arial"/>
        </w:rPr>
        <w:t xml:space="preserve"> o por resultado anular o menoscabar el reconocimiento, goce o ejercicio, en condiciones de igualdad, de los derechos humanos y libertades fundamentales de todas las personas”</w:t>
      </w:r>
      <w:r w:rsidR="00C10C50">
        <w:rPr>
          <w:rFonts w:ascii="Arial" w:hAnsi="Arial" w:cs="Arial"/>
        </w:rPr>
        <w:t xml:space="preserve"> (CEDR artículo 1, párrafo 1 y CEDAW artículo 1, párrafo 1). </w:t>
      </w:r>
    </w:p>
    <w:p w14:paraId="1E4DF9DA" w14:textId="77777777" w:rsidR="00E73254" w:rsidRPr="008F3025" w:rsidRDefault="00E73254" w:rsidP="00E73254">
      <w:pPr>
        <w:spacing w:line="360" w:lineRule="auto"/>
        <w:jc w:val="both"/>
        <w:rPr>
          <w:rFonts w:ascii="Arial" w:hAnsi="Arial" w:cs="Arial"/>
        </w:rPr>
      </w:pPr>
    </w:p>
    <w:p w14:paraId="66D14995" w14:textId="3A6EC715" w:rsidR="00E73254" w:rsidRDefault="00DF1F72" w:rsidP="00E73254">
      <w:pPr>
        <w:spacing w:line="360" w:lineRule="auto"/>
        <w:jc w:val="both"/>
        <w:rPr>
          <w:rFonts w:ascii="Arial" w:hAnsi="Arial" w:cs="Arial"/>
        </w:rPr>
      </w:pPr>
      <w:r>
        <w:rPr>
          <w:rFonts w:ascii="Arial" w:hAnsi="Arial" w:cs="Arial"/>
        </w:rPr>
        <w:t xml:space="preserve">La </w:t>
      </w:r>
      <w:r w:rsidR="00E73254" w:rsidRPr="008F3025">
        <w:rPr>
          <w:rFonts w:ascii="Arial" w:hAnsi="Arial" w:cs="Arial"/>
        </w:rPr>
        <w:t xml:space="preserve">Corte Interamericana </w:t>
      </w:r>
      <w:r w:rsidR="009F147F">
        <w:rPr>
          <w:rFonts w:ascii="Arial" w:hAnsi="Arial" w:cs="Arial"/>
        </w:rPr>
        <w:t>de Derechos Humanos (</w:t>
      </w:r>
      <w:proofErr w:type="spellStart"/>
      <w:r w:rsidR="009F147F">
        <w:rPr>
          <w:rFonts w:ascii="Arial" w:hAnsi="Arial" w:cs="Arial"/>
        </w:rPr>
        <w:t>CoIDH</w:t>
      </w:r>
      <w:proofErr w:type="spellEnd"/>
      <w:r w:rsidR="009F147F">
        <w:rPr>
          <w:rFonts w:ascii="Arial" w:hAnsi="Arial" w:cs="Arial"/>
        </w:rPr>
        <w:t xml:space="preserve">) </w:t>
      </w:r>
      <w:r w:rsidR="00E73254" w:rsidRPr="008F3025">
        <w:rPr>
          <w:rFonts w:ascii="Arial" w:hAnsi="Arial" w:cs="Arial"/>
        </w:rPr>
        <w:t>recuerda que la diferencia de trato será reputada discriminatoria, cuando se base en criterios que no puedan ser racionalmente apreciados como objetivos y razonables, es decir, cuando no persigue un fin legítimo y no existe una relación razonable de proporcionalidad entre los medios utilizados y el fin perseguido</w:t>
      </w:r>
      <w:r w:rsidR="007B69CE">
        <w:rPr>
          <w:rFonts w:ascii="Arial" w:hAnsi="Arial" w:cs="Arial"/>
        </w:rPr>
        <w:t xml:space="preserve"> (</w:t>
      </w:r>
      <w:proofErr w:type="spellStart"/>
      <w:r w:rsidR="007B69CE">
        <w:rPr>
          <w:rFonts w:ascii="Arial" w:hAnsi="Arial" w:cs="Arial"/>
        </w:rPr>
        <w:t>Cuscul</w:t>
      </w:r>
      <w:proofErr w:type="spellEnd"/>
      <w:r w:rsidR="007B69CE">
        <w:rPr>
          <w:rFonts w:ascii="Arial" w:hAnsi="Arial" w:cs="Arial"/>
        </w:rPr>
        <w:t xml:space="preserve"> Pivaral y otros vs Guatemala 2018, párrafo 66)</w:t>
      </w:r>
      <w:r w:rsidR="00E73254" w:rsidRPr="008F3025">
        <w:rPr>
          <w:rFonts w:ascii="Arial" w:hAnsi="Arial" w:cs="Arial"/>
        </w:rPr>
        <w:t>.</w:t>
      </w:r>
    </w:p>
    <w:p w14:paraId="6EBC75D3" w14:textId="4F0115AA" w:rsidR="007F4451" w:rsidRDefault="007F4451" w:rsidP="00E73254">
      <w:pPr>
        <w:spacing w:line="360" w:lineRule="auto"/>
        <w:jc w:val="both"/>
        <w:rPr>
          <w:rFonts w:ascii="Arial" w:hAnsi="Arial" w:cs="Arial"/>
        </w:rPr>
      </w:pPr>
    </w:p>
    <w:p w14:paraId="6264258E" w14:textId="14F9DE80" w:rsidR="007F4451" w:rsidRDefault="00DF1F72" w:rsidP="007F4451">
      <w:pPr>
        <w:spacing w:line="360" w:lineRule="auto"/>
        <w:jc w:val="both"/>
        <w:rPr>
          <w:rFonts w:ascii="Arial" w:hAnsi="Arial" w:cs="Arial"/>
        </w:rPr>
      </w:pPr>
      <w:r>
        <w:rPr>
          <w:rFonts w:ascii="Arial" w:hAnsi="Arial" w:cs="Arial"/>
        </w:rPr>
        <w:lastRenderedPageBreak/>
        <w:t>Asimismo,</w:t>
      </w:r>
      <w:r w:rsidR="007F4451">
        <w:rPr>
          <w:rFonts w:ascii="Arial" w:hAnsi="Arial" w:cs="Arial"/>
        </w:rPr>
        <w:t xml:space="preserve"> esa misma Corte señala </w:t>
      </w:r>
      <w:r w:rsidR="007F4451" w:rsidRPr="008674E7">
        <w:rPr>
          <w:rFonts w:ascii="Arial" w:hAnsi="Arial" w:cs="Arial"/>
        </w:rPr>
        <w:t>que el artículo 1.1 de la Convención</w:t>
      </w:r>
      <w:r w:rsidR="009F147F">
        <w:rPr>
          <w:rFonts w:ascii="Arial" w:hAnsi="Arial" w:cs="Arial"/>
        </w:rPr>
        <w:t xml:space="preserve"> Americana de Derechos Humanos</w:t>
      </w:r>
      <w:r w:rsidR="007F4451" w:rsidRPr="008674E7">
        <w:rPr>
          <w:rFonts w:ascii="Arial" w:hAnsi="Arial" w:cs="Arial"/>
        </w:rPr>
        <w:t>, dispone la obligación de los Estados</w:t>
      </w:r>
      <w:r w:rsidR="007F4451">
        <w:rPr>
          <w:rFonts w:ascii="Arial" w:hAnsi="Arial" w:cs="Arial"/>
        </w:rPr>
        <w:t xml:space="preserve"> </w:t>
      </w:r>
      <w:r w:rsidR="007F4451" w:rsidRPr="008674E7">
        <w:rPr>
          <w:rFonts w:ascii="Arial" w:hAnsi="Arial" w:cs="Arial"/>
        </w:rPr>
        <w:t xml:space="preserve">Parte de respetar y garantizar el pleno y libre ejercicio de los derechos allí reconocidos “sin discriminación alguna”. </w:t>
      </w:r>
      <w:r w:rsidR="007F4451">
        <w:rPr>
          <w:rFonts w:ascii="Arial" w:hAnsi="Arial" w:cs="Arial"/>
        </w:rPr>
        <w:t>U</w:t>
      </w:r>
      <w:r w:rsidR="007F4451" w:rsidRPr="008674E7">
        <w:rPr>
          <w:rFonts w:ascii="Arial" w:hAnsi="Arial" w:cs="Arial"/>
        </w:rPr>
        <w:t>n vínculo indisoluble entre la obligación de respetar y garantizar los derechos humanos y el principio de igualdad y no discriminación</w:t>
      </w:r>
      <w:r w:rsidR="007B69CE">
        <w:rPr>
          <w:rFonts w:ascii="Arial" w:hAnsi="Arial" w:cs="Arial"/>
        </w:rPr>
        <w:t xml:space="preserve"> (</w:t>
      </w:r>
      <w:r w:rsidR="007B69CE" w:rsidRPr="00F040C8">
        <w:rPr>
          <w:rFonts w:ascii="Arial" w:hAnsi="Arial" w:cs="Arial"/>
        </w:rPr>
        <w:t xml:space="preserve">Comunidad Indígena </w:t>
      </w:r>
      <w:proofErr w:type="spellStart"/>
      <w:r w:rsidR="007B69CE" w:rsidRPr="00F040C8">
        <w:rPr>
          <w:rFonts w:ascii="Arial" w:hAnsi="Arial" w:cs="Arial"/>
        </w:rPr>
        <w:t>Xákmok</w:t>
      </w:r>
      <w:proofErr w:type="spellEnd"/>
      <w:r w:rsidR="007B69CE" w:rsidRPr="00F040C8">
        <w:rPr>
          <w:rFonts w:ascii="Arial" w:hAnsi="Arial" w:cs="Arial"/>
        </w:rPr>
        <w:t xml:space="preserve"> </w:t>
      </w:r>
      <w:proofErr w:type="spellStart"/>
      <w:r w:rsidR="007B69CE" w:rsidRPr="00F040C8">
        <w:rPr>
          <w:rFonts w:ascii="Arial" w:hAnsi="Arial" w:cs="Arial"/>
        </w:rPr>
        <w:t>Kásek</w:t>
      </w:r>
      <w:proofErr w:type="spellEnd"/>
      <w:r w:rsidR="007B69CE" w:rsidRPr="00F040C8">
        <w:rPr>
          <w:rFonts w:ascii="Arial" w:hAnsi="Arial" w:cs="Arial"/>
        </w:rPr>
        <w:t xml:space="preserve"> </w:t>
      </w:r>
      <w:r w:rsidR="007B69CE">
        <w:rPr>
          <w:rFonts w:ascii="Arial" w:hAnsi="Arial" w:cs="Arial"/>
        </w:rPr>
        <w:t>vs</w:t>
      </w:r>
      <w:r w:rsidR="007B69CE" w:rsidRPr="00F040C8">
        <w:rPr>
          <w:rFonts w:ascii="Arial" w:hAnsi="Arial" w:cs="Arial"/>
        </w:rPr>
        <w:t>. Paraguay</w:t>
      </w:r>
      <w:r w:rsidR="007B69CE">
        <w:rPr>
          <w:rFonts w:ascii="Arial" w:hAnsi="Arial" w:cs="Arial"/>
        </w:rPr>
        <w:t xml:space="preserve"> </w:t>
      </w:r>
      <w:r w:rsidR="007B69CE" w:rsidRPr="00F040C8">
        <w:rPr>
          <w:rFonts w:ascii="Arial" w:hAnsi="Arial" w:cs="Arial"/>
        </w:rPr>
        <w:t>2010</w:t>
      </w:r>
      <w:r w:rsidR="007B69CE">
        <w:rPr>
          <w:rFonts w:ascii="Arial" w:hAnsi="Arial" w:cs="Arial"/>
        </w:rPr>
        <w:t xml:space="preserve">, </w:t>
      </w:r>
      <w:r w:rsidR="007B69CE" w:rsidRPr="00F040C8">
        <w:rPr>
          <w:rFonts w:ascii="Arial" w:hAnsi="Arial" w:cs="Arial"/>
        </w:rPr>
        <w:t>párrafo. 268</w:t>
      </w:r>
      <w:r w:rsidR="007B69CE">
        <w:rPr>
          <w:rFonts w:ascii="Arial" w:hAnsi="Arial" w:cs="Arial"/>
        </w:rPr>
        <w:t xml:space="preserve">; </w:t>
      </w:r>
      <w:proofErr w:type="spellStart"/>
      <w:r w:rsidR="007B69CE" w:rsidRPr="00F040C8">
        <w:rPr>
          <w:rFonts w:ascii="Arial" w:hAnsi="Arial" w:cs="Arial"/>
        </w:rPr>
        <w:t>Atala</w:t>
      </w:r>
      <w:proofErr w:type="spellEnd"/>
      <w:r w:rsidR="007B69CE" w:rsidRPr="00F040C8">
        <w:rPr>
          <w:rFonts w:ascii="Arial" w:hAnsi="Arial" w:cs="Arial"/>
        </w:rPr>
        <w:t xml:space="preserve"> Riffo y niñas </w:t>
      </w:r>
      <w:r w:rsidR="007B69CE">
        <w:rPr>
          <w:rFonts w:ascii="Arial" w:hAnsi="Arial" w:cs="Arial"/>
        </w:rPr>
        <w:t>vs</w:t>
      </w:r>
      <w:r w:rsidR="007B69CE" w:rsidRPr="00F040C8">
        <w:rPr>
          <w:rFonts w:ascii="Arial" w:hAnsi="Arial" w:cs="Arial"/>
        </w:rPr>
        <w:t xml:space="preserve"> Chile</w:t>
      </w:r>
      <w:r w:rsidR="007B69CE">
        <w:rPr>
          <w:rFonts w:ascii="Arial" w:hAnsi="Arial" w:cs="Arial"/>
        </w:rPr>
        <w:t xml:space="preserve"> </w:t>
      </w:r>
      <w:r w:rsidR="007B69CE" w:rsidRPr="00F040C8">
        <w:rPr>
          <w:rFonts w:ascii="Arial" w:hAnsi="Arial" w:cs="Arial"/>
        </w:rPr>
        <w:t>2012</w:t>
      </w:r>
      <w:r w:rsidR="007B69CE">
        <w:rPr>
          <w:rFonts w:ascii="Arial" w:hAnsi="Arial" w:cs="Arial"/>
        </w:rPr>
        <w:t xml:space="preserve">, </w:t>
      </w:r>
      <w:r w:rsidR="007B69CE" w:rsidRPr="00F040C8">
        <w:rPr>
          <w:rFonts w:ascii="Arial" w:hAnsi="Arial" w:cs="Arial"/>
        </w:rPr>
        <w:t>párr</w:t>
      </w:r>
      <w:r w:rsidR="007B69CE">
        <w:rPr>
          <w:rFonts w:ascii="Arial" w:hAnsi="Arial" w:cs="Arial"/>
        </w:rPr>
        <w:t>afo</w:t>
      </w:r>
      <w:r w:rsidR="007B69CE" w:rsidRPr="00F040C8">
        <w:rPr>
          <w:rFonts w:ascii="Arial" w:hAnsi="Arial" w:cs="Arial"/>
        </w:rPr>
        <w:t xml:space="preserve"> 78; </w:t>
      </w:r>
      <w:proofErr w:type="spellStart"/>
      <w:r w:rsidR="007B69CE" w:rsidRPr="00F040C8">
        <w:rPr>
          <w:rFonts w:ascii="Arial" w:hAnsi="Arial" w:cs="Arial"/>
        </w:rPr>
        <w:t>Nadege</w:t>
      </w:r>
      <w:proofErr w:type="spellEnd"/>
      <w:r w:rsidR="007B69CE" w:rsidRPr="00F040C8">
        <w:rPr>
          <w:rFonts w:ascii="Arial" w:hAnsi="Arial" w:cs="Arial"/>
        </w:rPr>
        <w:t xml:space="preserve"> </w:t>
      </w:r>
      <w:proofErr w:type="spellStart"/>
      <w:r w:rsidR="007B69CE" w:rsidRPr="00F040C8">
        <w:rPr>
          <w:rFonts w:ascii="Arial" w:hAnsi="Arial" w:cs="Arial"/>
        </w:rPr>
        <w:t>Dorzema</w:t>
      </w:r>
      <w:proofErr w:type="spellEnd"/>
      <w:r w:rsidR="007B69CE" w:rsidRPr="00F040C8">
        <w:rPr>
          <w:rFonts w:ascii="Arial" w:hAnsi="Arial" w:cs="Arial"/>
        </w:rPr>
        <w:t xml:space="preserve"> y otros </w:t>
      </w:r>
      <w:r w:rsidR="007B69CE">
        <w:rPr>
          <w:rFonts w:ascii="Arial" w:hAnsi="Arial" w:cs="Arial"/>
        </w:rPr>
        <w:t>v</w:t>
      </w:r>
      <w:r w:rsidR="007B69CE" w:rsidRPr="00F040C8">
        <w:rPr>
          <w:rFonts w:ascii="Arial" w:hAnsi="Arial" w:cs="Arial"/>
        </w:rPr>
        <w:t>s. República Dominicana</w:t>
      </w:r>
      <w:r w:rsidR="007B69CE">
        <w:rPr>
          <w:rFonts w:ascii="Arial" w:hAnsi="Arial" w:cs="Arial"/>
        </w:rPr>
        <w:t xml:space="preserve"> </w:t>
      </w:r>
      <w:r w:rsidR="007B69CE" w:rsidRPr="00F040C8">
        <w:rPr>
          <w:rFonts w:ascii="Arial" w:hAnsi="Arial" w:cs="Arial"/>
        </w:rPr>
        <w:t>2012</w:t>
      </w:r>
      <w:r w:rsidR="007B69CE">
        <w:rPr>
          <w:rFonts w:ascii="Arial" w:hAnsi="Arial" w:cs="Arial"/>
        </w:rPr>
        <w:t xml:space="preserve">, </w:t>
      </w:r>
      <w:r w:rsidR="007B69CE" w:rsidRPr="00F040C8">
        <w:rPr>
          <w:rFonts w:ascii="Arial" w:hAnsi="Arial" w:cs="Arial"/>
        </w:rPr>
        <w:t>párr</w:t>
      </w:r>
      <w:r w:rsidR="007B69CE">
        <w:rPr>
          <w:rFonts w:ascii="Arial" w:hAnsi="Arial" w:cs="Arial"/>
        </w:rPr>
        <w:t>afo</w:t>
      </w:r>
      <w:r w:rsidR="007B69CE" w:rsidRPr="00F040C8">
        <w:rPr>
          <w:rFonts w:ascii="Arial" w:hAnsi="Arial" w:cs="Arial"/>
        </w:rPr>
        <w:t xml:space="preserve"> 224</w:t>
      </w:r>
      <w:r w:rsidR="007B69CE">
        <w:rPr>
          <w:rFonts w:ascii="Arial" w:hAnsi="Arial" w:cs="Arial"/>
        </w:rPr>
        <w:t xml:space="preserve">; </w:t>
      </w:r>
      <w:r w:rsidR="007B69CE" w:rsidRPr="00F040C8">
        <w:rPr>
          <w:rFonts w:ascii="Arial" w:hAnsi="Arial" w:cs="Arial"/>
        </w:rPr>
        <w:t xml:space="preserve">Veliz Franco y otros </w:t>
      </w:r>
      <w:r w:rsidR="007B69CE">
        <w:rPr>
          <w:rFonts w:ascii="Arial" w:hAnsi="Arial" w:cs="Arial"/>
        </w:rPr>
        <w:t>v</w:t>
      </w:r>
      <w:r w:rsidR="007B69CE" w:rsidRPr="00F040C8">
        <w:rPr>
          <w:rFonts w:ascii="Arial" w:hAnsi="Arial" w:cs="Arial"/>
        </w:rPr>
        <w:t>s. Guatemala</w:t>
      </w:r>
      <w:r w:rsidR="007B69CE">
        <w:rPr>
          <w:rFonts w:ascii="Arial" w:hAnsi="Arial" w:cs="Arial"/>
        </w:rPr>
        <w:t xml:space="preserve"> </w:t>
      </w:r>
      <w:r w:rsidR="007B69CE" w:rsidRPr="00F040C8">
        <w:rPr>
          <w:rFonts w:ascii="Arial" w:hAnsi="Arial" w:cs="Arial"/>
        </w:rPr>
        <w:t>2014</w:t>
      </w:r>
      <w:r w:rsidR="007B69CE">
        <w:rPr>
          <w:rFonts w:ascii="Arial" w:hAnsi="Arial" w:cs="Arial"/>
        </w:rPr>
        <w:t xml:space="preserve">, </w:t>
      </w:r>
      <w:r w:rsidR="007B69CE" w:rsidRPr="00F040C8">
        <w:rPr>
          <w:rFonts w:ascii="Arial" w:hAnsi="Arial" w:cs="Arial"/>
        </w:rPr>
        <w:t>párr</w:t>
      </w:r>
      <w:r w:rsidR="007B69CE">
        <w:rPr>
          <w:rFonts w:ascii="Arial" w:hAnsi="Arial" w:cs="Arial"/>
        </w:rPr>
        <w:t>afo</w:t>
      </w:r>
      <w:r w:rsidR="007B69CE" w:rsidRPr="00F040C8">
        <w:rPr>
          <w:rFonts w:ascii="Arial" w:hAnsi="Arial" w:cs="Arial"/>
        </w:rPr>
        <w:t xml:space="preserve"> 204; I.V. </w:t>
      </w:r>
      <w:r w:rsidR="007B69CE">
        <w:rPr>
          <w:rFonts w:ascii="Arial" w:hAnsi="Arial" w:cs="Arial"/>
        </w:rPr>
        <w:t>v</w:t>
      </w:r>
      <w:r w:rsidR="007B69CE" w:rsidRPr="00F040C8">
        <w:rPr>
          <w:rFonts w:ascii="Arial" w:hAnsi="Arial" w:cs="Arial"/>
        </w:rPr>
        <w:t>s. Bolivia</w:t>
      </w:r>
      <w:r w:rsidR="007B69CE">
        <w:rPr>
          <w:rFonts w:ascii="Arial" w:hAnsi="Arial" w:cs="Arial"/>
        </w:rPr>
        <w:t xml:space="preserve"> </w:t>
      </w:r>
      <w:r w:rsidR="007B69CE" w:rsidRPr="00F040C8">
        <w:rPr>
          <w:rFonts w:ascii="Arial" w:hAnsi="Arial" w:cs="Arial"/>
        </w:rPr>
        <w:t>2016</w:t>
      </w:r>
      <w:r w:rsidR="007B69CE">
        <w:rPr>
          <w:rFonts w:ascii="Arial" w:hAnsi="Arial" w:cs="Arial"/>
        </w:rPr>
        <w:t xml:space="preserve">, </w:t>
      </w:r>
      <w:r w:rsidR="007B69CE" w:rsidRPr="00F040C8">
        <w:rPr>
          <w:rFonts w:ascii="Arial" w:hAnsi="Arial" w:cs="Arial"/>
        </w:rPr>
        <w:t>párr</w:t>
      </w:r>
      <w:r w:rsidR="007B69CE">
        <w:rPr>
          <w:rFonts w:ascii="Arial" w:hAnsi="Arial" w:cs="Arial"/>
        </w:rPr>
        <w:t xml:space="preserve">afo </w:t>
      </w:r>
      <w:r w:rsidR="007B69CE" w:rsidRPr="00F040C8">
        <w:rPr>
          <w:rFonts w:ascii="Arial" w:hAnsi="Arial" w:cs="Arial"/>
        </w:rPr>
        <w:t xml:space="preserve">239; Trabajadores de la Hacienda Brasil Verde </w:t>
      </w:r>
      <w:r w:rsidR="007B69CE">
        <w:rPr>
          <w:rFonts w:ascii="Arial" w:hAnsi="Arial" w:cs="Arial"/>
        </w:rPr>
        <w:t>v</w:t>
      </w:r>
      <w:r w:rsidR="007B69CE" w:rsidRPr="00F040C8">
        <w:rPr>
          <w:rFonts w:ascii="Arial" w:hAnsi="Arial" w:cs="Arial"/>
        </w:rPr>
        <w:t>s. Brasil</w:t>
      </w:r>
      <w:r w:rsidR="007B69CE">
        <w:rPr>
          <w:rFonts w:ascii="Arial" w:hAnsi="Arial" w:cs="Arial"/>
        </w:rPr>
        <w:t xml:space="preserve"> </w:t>
      </w:r>
      <w:r w:rsidR="007B69CE" w:rsidRPr="00F040C8">
        <w:rPr>
          <w:rFonts w:ascii="Arial" w:hAnsi="Arial" w:cs="Arial"/>
        </w:rPr>
        <w:t>2016</w:t>
      </w:r>
      <w:r w:rsidR="007B69CE">
        <w:rPr>
          <w:rFonts w:ascii="Arial" w:hAnsi="Arial" w:cs="Arial"/>
        </w:rPr>
        <w:t xml:space="preserve">, </w:t>
      </w:r>
      <w:r w:rsidR="007B69CE" w:rsidRPr="00F040C8">
        <w:rPr>
          <w:rFonts w:ascii="Arial" w:hAnsi="Arial" w:cs="Arial"/>
        </w:rPr>
        <w:t>párr</w:t>
      </w:r>
      <w:r w:rsidR="007B69CE">
        <w:rPr>
          <w:rFonts w:ascii="Arial" w:hAnsi="Arial" w:cs="Arial"/>
        </w:rPr>
        <w:t>afo</w:t>
      </w:r>
      <w:r w:rsidR="007B69CE" w:rsidRPr="00F040C8">
        <w:rPr>
          <w:rFonts w:ascii="Arial" w:hAnsi="Arial" w:cs="Arial"/>
        </w:rPr>
        <w:t xml:space="preserve"> 335</w:t>
      </w:r>
      <w:r w:rsidR="007B69CE">
        <w:rPr>
          <w:rFonts w:ascii="Arial" w:hAnsi="Arial" w:cs="Arial"/>
        </w:rPr>
        <w:t>).</w:t>
      </w:r>
    </w:p>
    <w:p w14:paraId="1C303ED4" w14:textId="7A622AB5" w:rsidR="002D643C" w:rsidRDefault="002D643C" w:rsidP="00E73254">
      <w:pPr>
        <w:spacing w:line="360" w:lineRule="auto"/>
        <w:jc w:val="both"/>
        <w:rPr>
          <w:rFonts w:ascii="Arial" w:hAnsi="Arial" w:cs="Arial"/>
        </w:rPr>
      </w:pPr>
    </w:p>
    <w:p w14:paraId="586BD024" w14:textId="6E43ED56" w:rsidR="00F679AA" w:rsidRPr="00F679AA" w:rsidRDefault="00DF1F72" w:rsidP="00F679AA">
      <w:pPr>
        <w:spacing w:line="360" w:lineRule="auto"/>
        <w:jc w:val="both"/>
        <w:rPr>
          <w:rFonts w:ascii="Arial" w:hAnsi="Arial" w:cs="Arial"/>
        </w:rPr>
      </w:pPr>
      <w:r w:rsidRPr="00DF1F72">
        <w:rPr>
          <w:rFonts w:ascii="Arial" w:hAnsi="Arial" w:cs="Arial"/>
        </w:rPr>
        <w:t xml:space="preserve">Entendida así la igualdad y la no discriminación, </w:t>
      </w:r>
      <w:r w:rsidR="00F679AA">
        <w:rPr>
          <w:rFonts w:ascii="Arial" w:hAnsi="Arial" w:cs="Arial"/>
        </w:rPr>
        <w:t xml:space="preserve">se observa su </w:t>
      </w:r>
      <w:r w:rsidR="007D181E">
        <w:rPr>
          <w:rFonts w:ascii="Arial" w:hAnsi="Arial" w:cs="Arial"/>
        </w:rPr>
        <w:t xml:space="preserve">vinculación </w:t>
      </w:r>
      <w:r w:rsidR="00F679AA">
        <w:rPr>
          <w:rFonts w:ascii="Arial" w:hAnsi="Arial" w:cs="Arial"/>
        </w:rPr>
        <w:t xml:space="preserve">estrecha con el </w:t>
      </w:r>
      <w:r w:rsidR="00F679AA" w:rsidRPr="00C13B4B">
        <w:rPr>
          <w:rFonts w:ascii="Arial" w:hAnsi="Arial" w:cs="Arial"/>
          <w:bCs/>
        </w:rPr>
        <w:t>derecho humano de las mujeres a una vida libre de violencia</w:t>
      </w:r>
      <w:r w:rsidR="00F679AA">
        <w:rPr>
          <w:rFonts w:ascii="Arial" w:hAnsi="Arial" w:cs="Arial"/>
          <w:bCs/>
        </w:rPr>
        <w:t>,</w:t>
      </w:r>
      <w:r w:rsidR="007D181E">
        <w:rPr>
          <w:rFonts w:ascii="Arial" w:hAnsi="Arial" w:cs="Arial"/>
          <w:bCs/>
        </w:rPr>
        <w:t xml:space="preserve"> y en específico, con </w:t>
      </w:r>
      <w:r w:rsidR="00250910">
        <w:rPr>
          <w:rFonts w:ascii="Arial" w:hAnsi="Arial" w:cs="Arial"/>
          <w:bCs/>
        </w:rPr>
        <w:t>la violencia política</w:t>
      </w:r>
      <w:r w:rsidR="007D181E">
        <w:rPr>
          <w:rFonts w:ascii="Arial" w:hAnsi="Arial" w:cs="Arial"/>
          <w:bCs/>
        </w:rPr>
        <w:t xml:space="preserve"> por razón de género.</w:t>
      </w:r>
    </w:p>
    <w:p w14:paraId="72D23CB0" w14:textId="77777777" w:rsidR="00F040C8" w:rsidRPr="00E73254" w:rsidRDefault="00F040C8" w:rsidP="00E73254">
      <w:pPr>
        <w:spacing w:line="360" w:lineRule="auto"/>
        <w:jc w:val="both"/>
        <w:rPr>
          <w:rFonts w:ascii="Arial" w:hAnsi="Arial" w:cs="Arial"/>
          <w:b/>
          <w:bCs/>
        </w:rPr>
      </w:pPr>
    </w:p>
    <w:p w14:paraId="1B0E6600" w14:textId="3B9D86E3" w:rsidR="00F040C8" w:rsidRDefault="00DF1F72" w:rsidP="00F040C8">
      <w:pPr>
        <w:spacing w:line="360" w:lineRule="auto"/>
        <w:jc w:val="both"/>
        <w:rPr>
          <w:rFonts w:ascii="Arial" w:hAnsi="Arial" w:cs="Arial"/>
          <w:b/>
          <w:lang w:eastAsia="en-US"/>
        </w:rPr>
      </w:pPr>
      <w:r>
        <w:rPr>
          <w:rFonts w:ascii="Arial" w:hAnsi="Arial" w:cs="Arial"/>
          <w:b/>
          <w:lang w:eastAsia="en-US"/>
        </w:rPr>
        <w:t>Concepto de la v</w:t>
      </w:r>
      <w:r w:rsidR="00F040C8">
        <w:rPr>
          <w:rFonts w:ascii="Arial" w:hAnsi="Arial" w:cs="Arial"/>
          <w:b/>
          <w:lang w:eastAsia="en-US"/>
        </w:rPr>
        <w:t>iolencia política por razón de género</w:t>
      </w:r>
    </w:p>
    <w:p w14:paraId="2DCCB27D" w14:textId="77777777" w:rsidR="00F040C8" w:rsidRPr="00C13B4B" w:rsidRDefault="00F040C8" w:rsidP="00F040C8">
      <w:pPr>
        <w:pStyle w:val="NormalWeb"/>
        <w:spacing w:before="0" w:beforeAutospacing="0" w:after="0" w:afterAutospacing="0" w:line="360" w:lineRule="auto"/>
        <w:jc w:val="both"/>
        <w:rPr>
          <w:rFonts w:ascii="Arial" w:hAnsi="Arial" w:cs="Arial"/>
          <w:bCs/>
        </w:rPr>
      </w:pPr>
    </w:p>
    <w:p w14:paraId="4EDB2999" w14:textId="5563B160" w:rsidR="00F040C8" w:rsidRDefault="007D181E" w:rsidP="00F040C8">
      <w:pPr>
        <w:widowControl w:val="0"/>
        <w:autoSpaceDE w:val="0"/>
        <w:autoSpaceDN w:val="0"/>
        <w:adjustRightInd w:val="0"/>
        <w:spacing w:line="360" w:lineRule="auto"/>
        <w:jc w:val="both"/>
        <w:rPr>
          <w:rFonts w:ascii="Arial" w:hAnsi="Arial" w:cs="Arial"/>
          <w:bCs/>
        </w:rPr>
      </w:pPr>
      <w:r>
        <w:rPr>
          <w:rFonts w:ascii="Arial" w:hAnsi="Arial" w:cs="Arial"/>
          <w:bCs/>
        </w:rPr>
        <w:t xml:space="preserve">El reciente reconocimiento de </w:t>
      </w:r>
      <w:r w:rsidR="00F040C8" w:rsidRPr="0001182A">
        <w:rPr>
          <w:rFonts w:ascii="Arial" w:hAnsi="Arial" w:cs="Arial"/>
          <w:bCs/>
        </w:rPr>
        <w:t xml:space="preserve">la violencia política contra las mujeres en razón de género, </w:t>
      </w:r>
      <w:r>
        <w:rPr>
          <w:rFonts w:ascii="Arial" w:hAnsi="Arial" w:cs="Arial"/>
          <w:bCs/>
        </w:rPr>
        <w:t xml:space="preserve">en el ámbito jurídico nacional, la define </w:t>
      </w:r>
      <w:r w:rsidR="00F040C8" w:rsidRPr="0001182A">
        <w:rPr>
          <w:rFonts w:ascii="Arial" w:hAnsi="Arial" w:cs="Arial"/>
          <w:bCs/>
        </w:rPr>
        <w:t>como toda acción u omisión, incluida la tolerancia, basada en elementos de género y ejercida dentro de la esfera pública o privada, que tenga por objeto o resultado limitar, anular o menoscabar el ejercicio efectivo de los derechos políticos y electorales de una o varias mujeres, el acceso al pleno ejercicio de las atribuciones inherentes a su cargo, labor o actividad, el libre desarrollo de la función pública, la toma de decisiones, la libertad de organización, así como el acceso y ejercicio a las prerrogativas, tratándose de precandidaturas, candidaturas, funciones o cargos públicos del mismo tipo</w:t>
      </w:r>
      <w:r w:rsidR="007B69CE">
        <w:rPr>
          <w:rFonts w:ascii="Arial" w:hAnsi="Arial" w:cs="Arial"/>
          <w:bCs/>
        </w:rPr>
        <w:t xml:space="preserve"> (LGAMVLV artículos 20 BIS y 20, párrafos XII y XVI y LEGIPE artículo 3, párrafo 1, inciso k)</w:t>
      </w:r>
      <w:r w:rsidR="00F040C8" w:rsidRPr="0001182A">
        <w:rPr>
          <w:rStyle w:val="Refdenotaalpie"/>
          <w:rFonts w:ascii="Arial" w:hAnsi="Arial" w:cs="Arial"/>
          <w:bCs/>
        </w:rPr>
        <w:footnoteReference w:id="3"/>
      </w:r>
      <w:r w:rsidR="00F040C8" w:rsidRPr="0001182A">
        <w:rPr>
          <w:rFonts w:ascii="Arial" w:hAnsi="Arial" w:cs="Arial"/>
          <w:bCs/>
        </w:rPr>
        <w:t>.</w:t>
      </w:r>
    </w:p>
    <w:p w14:paraId="61382CFB" w14:textId="77777777" w:rsidR="002D643C" w:rsidRDefault="002D643C" w:rsidP="00F040C8">
      <w:pPr>
        <w:widowControl w:val="0"/>
        <w:autoSpaceDE w:val="0"/>
        <w:autoSpaceDN w:val="0"/>
        <w:adjustRightInd w:val="0"/>
        <w:spacing w:line="360" w:lineRule="auto"/>
        <w:jc w:val="both"/>
        <w:rPr>
          <w:rFonts w:ascii="Arial" w:hAnsi="Arial" w:cs="Arial"/>
          <w:bCs/>
        </w:rPr>
      </w:pPr>
    </w:p>
    <w:p w14:paraId="48D7B749" w14:textId="7C422196" w:rsidR="00F040C8" w:rsidRDefault="007D181E" w:rsidP="002D643C">
      <w:pPr>
        <w:pStyle w:val="NormalWeb"/>
        <w:spacing w:before="0" w:beforeAutospacing="0" w:after="0" w:afterAutospacing="0" w:line="360" w:lineRule="auto"/>
        <w:jc w:val="both"/>
        <w:rPr>
          <w:rFonts w:ascii="Arial" w:hAnsi="Arial" w:cs="Arial"/>
          <w:bCs/>
        </w:rPr>
      </w:pPr>
      <w:r>
        <w:rPr>
          <w:rFonts w:ascii="Arial" w:hAnsi="Arial" w:cs="Arial"/>
        </w:rPr>
        <w:lastRenderedPageBreak/>
        <w:t xml:space="preserve">Esa definición se complementa con un </w:t>
      </w:r>
      <w:r w:rsidR="00F040C8" w:rsidRPr="00F84275">
        <w:rPr>
          <w:rFonts w:ascii="Arial" w:hAnsi="Arial" w:cs="Arial"/>
        </w:rPr>
        <w:t xml:space="preserve">bloque convencional </w:t>
      </w:r>
      <w:r>
        <w:rPr>
          <w:rFonts w:ascii="Arial" w:hAnsi="Arial" w:cs="Arial"/>
        </w:rPr>
        <w:t xml:space="preserve">que </w:t>
      </w:r>
      <w:r w:rsidR="00F040C8" w:rsidRPr="00F84275">
        <w:rPr>
          <w:rFonts w:ascii="Arial" w:hAnsi="Arial" w:cs="Arial"/>
        </w:rPr>
        <w:t>reconoce el vínculo existente entre la violencia contra las mujeres y la discriminación</w:t>
      </w:r>
      <w:r w:rsidR="007B69CE">
        <w:rPr>
          <w:rFonts w:ascii="Arial" w:hAnsi="Arial" w:cs="Arial"/>
        </w:rPr>
        <w:t xml:space="preserve"> (Belém do Pará preámbulo y artículo 6 y CEDAW preámbulo)</w:t>
      </w:r>
      <w:r w:rsidR="00F040C8" w:rsidRPr="00F84275">
        <w:rPr>
          <w:rFonts w:ascii="Arial" w:hAnsi="Arial" w:cs="Arial"/>
        </w:rPr>
        <w:t>,</w:t>
      </w:r>
      <w:r w:rsidR="00F040C8">
        <w:rPr>
          <w:rFonts w:ascii="Arial" w:hAnsi="Arial" w:cs="Arial"/>
        </w:rPr>
        <w:t xml:space="preserve"> asimismo, que las mujeres tienen el </w:t>
      </w:r>
      <w:r w:rsidR="00F040C8" w:rsidRPr="004D7878">
        <w:rPr>
          <w:rFonts w:ascii="Arial" w:hAnsi="Arial" w:cs="Arial"/>
        </w:rPr>
        <w:t xml:space="preserve">derecho a </w:t>
      </w:r>
      <w:r w:rsidR="00F040C8">
        <w:rPr>
          <w:rFonts w:ascii="Arial" w:hAnsi="Arial" w:cs="Arial"/>
        </w:rPr>
        <w:t>la</w:t>
      </w:r>
      <w:r w:rsidR="00F040C8" w:rsidRPr="004D7878">
        <w:rPr>
          <w:rFonts w:ascii="Arial" w:hAnsi="Arial" w:cs="Arial"/>
        </w:rPr>
        <w:t xml:space="preserve"> igualdad de acceso a las funciones públicas de </w:t>
      </w:r>
      <w:r w:rsidR="00F040C8">
        <w:rPr>
          <w:rFonts w:ascii="Arial" w:hAnsi="Arial" w:cs="Arial"/>
        </w:rPr>
        <w:t>un</w:t>
      </w:r>
      <w:r w:rsidR="00F040C8" w:rsidRPr="004D7878">
        <w:rPr>
          <w:rFonts w:ascii="Arial" w:hAnsi="Arial" w:cs="Arial"/>
        </w:rPr>
        <w:t xml:space="preserve"> país y a participar en los asuntos públicos, </w:t>
      </w:r>
      <w:r w:rsidR="00F040C8" w:rsidRPr="00347B16">
        <w:rPr>
          <w:rFonts w:ascii="Arial" w:hAnsi="Arial" w:cs="Arial"/>
        </w:rPr>
        <w:t>incluyendo la toma de decisiones</w:t>
      </w:r>
      <w:r w:rsidR="007B69CE">
        <w:rPr>
          <w:rFonts w:ascii="Arial" w:hAnsi="Arial" w:cs="Arial"/>
        </w:rPr>
        <w:t xml:space="preserve"> (Belém do Pará artículos 4 y7, </w:t>
      </w:r>
      <w:r w:rsidR="00EC6544">
        <w:rPr>
          <w:rFonts w:ascii="Arial" w:hAnsi="Arial" w:cs="Arial"/>
        </w:rPr>
        <w:t xml:space="preserve">CDPM artículos </w:t>
      </w:r>
      <w:r w:rsidR="007B69CE" w:rsidRPr="007B69CE">
        <w:rPr>
          <w:rFonts w:ascii="Arial" w:hAnsi="Arial" w:cs="Arial"/>
        </w:rPr>
        <w:t>II y III</w:t>
      </w:r>
      <w:r w:rsidR="00EC6544">
        <w:rPr>
          <w:rFonts w:ascii="Arial" w:hAnsi="Arial" w:cs="Arial"/>
        </w:rPr>
        <w:t>, y CEDAW recomendación general 19).</w:t>
      </w:r>
    </w:p>
    <w:p w14:paraId="1F695366" w14:textId="77777777" w:rsidR="002D643C" w:rsidRPr="00EF6FE6" w:rsidRDefault="002D643C" w:rsidP="002D643C">
      <w:pPr>
        <w:pStyle w:val="NormalWeb"/>
        <w:spacing w:before="0" w:beforeAutospacing="0" w:after="0" w:afterAutospacing="0" w:line="360" w:lineRule="auto"/>
        <w:jc w:val="both"/>
        <w:rPr>
          <w:rFonts w:ascii="Arial" w:hAnsi="Arial" w:cs="Arial"/>
          <w:highlight w:val="green"/>
        </w:rPr>
      </w:pPr>
    </w:p>
    <w:p w14:paraId="169F4A28" w14:textId="098CAC27" w:rsidR="00F040C8" w:rsidRPr="007D181E" w:rsidRDefault="00250910" w:rsidP="002D643C">
      <w:pPr>
        <w:spacing w:line="360" w:lineRule="auto"/>
        <w:jc w:val="both"/>
        <w:rPr>
          <w:rFonts w:ascii="Arial" w:hAnsi="Arial" w:cs="Arial"/>
        </w:rPr>
      </w:pPr>
      <w:r w:rsidRPr="007D181E">
        <w:rPr>
          <w:rFonts w:ascii="Arial" w:hAnsi="Arial" w:cs="Arial"/>
        </w:rPr>
        <w:t>Igualmente</w:t>
      </w:r>
      <w:r w:rsidR="007D181E" w:rsidRPr="007D181E">
        <w:rPr>
          <w:rFonts w:ascii="Arial" w:hAnsi="Arial" w:cs="Arial"/>
        </w:rPr>
        <w:t xml:space="preserve">, la </w:t>
      </w:r>
      <w:proofErr w:type="spellStart"/>
      <w:r w:rsidR="009F147F">
        <w:rPr>
          <w:rFonts w:ascii="Arial" w:hAnsi="Arial" w:cs="Arial"/>
        </w:rPr>
        <w:t>CoIDH</w:t>
      </w:r>
      <w:proofErr w:type="spellEnd"/>
      <w:r w:rsidR="00F040C8" w:rsidRPr="007D181E">
        <w:rPr>
          <w:rFonts w:ascii="Arial" w:hAnsi="Arial" w:cs="Arial"/>
        </w:rPr>
        <w:t xml:space="preserve"> estima que la violencia basada en el género o que afecta a la mujer de manera desproporcionada, es discriminación en su contra</w:t>
      </w:r>
      <w:r w:rsidR="00EC6544">
        <w:rPr>
          <w:rFonts w:ascii="Arial" w:hAnsi="Arial" w:cs="Arial"/>
        </w:rPr>
        <w:t xml:space="preserve"> (</w:t>
      </w:r>
      <w:r w:rsidR="00EC6544" w:rsidRPr="002D643C">
        <w:rPr>
          <w:rFonts w:ascii="Arial" w:hAnsi="Arial" w:cs="Arial"/>
        </w:rPr>
        <w:t xml:space="preserve">Veliz Franco y otros </w:t>
      </w:r>
      <w:r w:rsidR="00EC6544">
        <w:rPr>
          <w:rFonts w:ascii="Arial" w:hAnsi="Arial" w:cs="Arial"/>
        </w:rPr>
        <w:t>v</w:t>
      </w:r>
      <w:r w:rsidR="00EC6544" w:rsidRPr="002D643C">
        <w:rPr>
          <w:rFonts w:ascii="Arial" w:hAnsi="Arial" w:cs="Arial"/>
        </w:rPr>
        <w:t>s. Guatemala</w:t>
      </w:r>
      <w:r w:rsidR="00EC6544">
        <w:rPr>
          <w:rFonts w:ascii="Arial" w:hAnsi="Arial" w:cs="Arial"/>
        </w:rPr>
        <w:t xml:space="preserve"> </w:t>
      </w:r>
      <w:r w:rsidR="00EC6544" w:rsidRPr="002D643C">
        <w:rPr>
          <w:rFonts w:ascii="Arial" w:hAnsi="Arial" w:cs="Arial"/>
        </w:rPr>
        <w:t>201</w:t>
      </w:r>
      <w:r w:rsidR="00EC6544">
        <w:rPr>
          <w:rFonts w:ascii="Arial" w:hAnsi="Arial" w:cs="Arial"/>
        </w:rPr>
        <w:t>4</w:t>
      </w:r>
      <w:r w:rsidR="00EC6544" w:rsidRPr="002D643C">
        <w:rPr>
          <w:rFonts w:ascii="Arial" w:hAnsi="Arial" w:cs="Arial"/>
        </w:rPr>
        <w:t>, párrafo 207</w:t>
      </w:r>
      <w:r w:rsidR="00EC6544">
        <w:rPr>
          <w:rFonts w:ascii="Arial" w:hAnsi="Arial" w:cs="Arial"/>
        </w:rPr>
        <w:t>)</w:t>
      </w:r>
      <w:r w:rsidR="00F040C8" w:rsidRPr="007D181E">
        <w:rPr>
          <w:rFonts w:ascii="Arial" w:hAnsi="Arial" w:cs="Arial"/>
        </w:rPr>
        <w:t>, y al interpretar la Convención de Belén do Pará, advierte que, las obligaciones estatales especificadas en su artículo 7 deben alcanzar todas las esferas de actuación del Estado, transversal y verticalmente, es decir, todos los poderes públicos (legislativo, ejecutivo y judicial), a nivel federal, estadual o local, así como en las esferas privadas</w:t>
      </w:r>
      <w:r w:rsidR="00EC6544">
        <w:rPr>
          <w:rFonts w:ascii="Arial" w:hAnsi="Arial" w:cs="Arial"/>
        </w:rPr>
        <w:t xml:space="preserve"> (</w:t>
      </w:r>
      <w:r w:rsidR="00EC6544" w:rsidRPr="002D643C">
        <w:rPr>
          <w:rFonts w:ascii="Arial" w:hAnsi="Arial" w:cs="Arial"/>
        </w:rPr>
        <w:t xml:space="preserve">Mujeres Víctimas de Tortura Sexual en Atenco </w:t>
      </w:r>
      <w:r w:rsidR="00EC6544">
        <w:rPr>
          <w:rFonts w:ascii="Arial" w:hAnsi="Arial" w:cs="Arial"/>
        </w:rPr>
        <w:t>v</w:t>
      </w:r>
      <w:r w:rsidR="00EC6544" w:rsidRPr="002D643C">
        <w:rPr>
          <w:rFonts w:ascii="Arial" w:hAnsi="Arial" w:cs="Arial"/>
        </w:rPr>
        <w:t>s. México</w:t>
      </w:r>
      <w:r w:rsidR="00EC6544">
        <w:rPr>
          <w:rFonts w:ascii="Arial" w:hAnsi="Arial" w:cs="Arial"/>
        </w:rPr>
        <w:t xml:space="preserve"> </w:t>
      </w:r>
      <w:r w:rsidR="00EC6544" w:rsidRPr="002D643C">
        <w:rPr>
          <w:rFonts w:ascii="Arial" w:hAnsi="Arial" w:cs="Arial"/>
        </w:rPr>
        <w:t>2018</w:t>
      </w:r>
      <w:r w:rsidR="00EC6544">
        <w:rPr>
          <w:rFonts w:ascii="Arial" w:hAnsi="Arial" w:cs="Arial"/>
        </w:rPr>
        <w:t xml:space="preserve">, </w:t>
      </w:r>
      <w:r w:rsidR="00EC6544" w:rsidRPr="002D643C">
        <w:rPr>
          <w:rFonts w:ascii="Arial" w:hAnsi="Arial" w:cs="Arial"/>
        </w:rPr>
        <w:t>párr</w:t>
      </w:r>
      <w:r w:rsidR="00EC6544">
        <w:rPr>
          <w:rFonts w:ascii="Arial" w:hAnsi="Arial" w:cs="Arial"/>
        </w:rPr>
        <w:t>afo</w:t>
      </w:r>
      <w:r w:rsidR="00EC6544" w:rsidRPr="002D643C">
        <w:rPr>
          <w:rFonts w:ascii="Arial" w:hAnsi="Arial" w:cs="Arial"/>
        </w:rPr>
        <w:t xml:space="preserve"> 215</w:t>
      </w:r>
      <w:r w:rsidR="00EC6544">
        <w:rPr>
          <w:rFonts w:ascii="Arial" w:hAnsi="Arial" w:cs="Arial"/>
        </w:rPr>
        <w:t>).</w:t>
      </w:r>
    </w:p>
    <w:p w14:paraId="1F4442E2" w14:textId="77777777" w:rsidR="002D643C" w:rsidRPr="007D181E" w:rsidRDefault="002D643C" w:rsidP="002D643C">
      <w:pPr>
        <w:spacing w:line="360" w:lineRule="auto"/>
        <w:jc w:val="both"/>
        <w:rPr>
          <w:rFonts w:ascii="Arial" w:hAnsi="Arial" w:cs="Arial"/>
        </w:rPr>
      </w:pPr>
    </w:p>
    <w:p w14:paraId="77ECA3D0" w14:textId="620116E9" w:rsidR="00F040C8" w:rsidRPr="007D181E" w:rsidRDefault="00F040C8" w:rsidP="002D643C">
      <w:pPr>
        <w:pStyle w:val="NormalWeb"/>
        <w:spacing w:before="0" w:beforeAutospacing="0" w:after="0" w:afterAutospacing="0" w:line="360" w:lineRule="auto"/>
        <w:jc w:val="both"/>
        <w:rPr>
          <w:rFonts w:ascii="Arial" w:hAnsi="Arial" w:cs="Arial"/>
        </w:rPr>
      </w:pPr>
      <w:r w:rsidRPr="007D181E">
        <w:rPr>
          <w:rFonts w:ascii="Arial" w:hAnsi="Arial" w:cs="Arial"/>
        </w:rPr>
        <w:t>La misma Corte ha establecido que cuando existen alegaciones de violencia política de género que impiden el adecuado ejercicio de un cargo, se debe actuar con debida diligencia</w:t>
      </w:r>
      <w:r w:rsidR="00EC6544">
        <w:rPr>
          <w:rFonts w:ascii="Arial" w:hAnsi="Arial" w:cs="Arial"/>
        </w:rPr>
        <w:t xml:space="preserve"> (</w:t>
      </w:r>
      <w:r w:rsidR="00EC6544" w:rsidRPr="00EC6544">
        <w:rPr>
          <w:rFonts w:ascii="Arial" w:hAnsi="Arial" w:cs="Arial"/>
          <w:shd w:val="clear" w:color="auto" w:fill="FFFFFF"/>
        </w:rPr>
        <w:t>Velásquez Rodríguez vs Honduras</w:t>
      </w:r>
      <w:r w:rsidR="00EC6544">
        <w:rPr>
          <w:rFonts w:ascii="Arial" w:hAnsi="Arial" w:cs="Arial"/>
          <w:shd w:val="clear" w:color="auto" w:fill="FFFFFF"/>
        </w:rPr>
        <w:t xml:space="preserve"> </w:t>
      </w:r>
      <w:r w:rsidR="00EC6544" w:rsidRPr="002D643C">
        <w:rPr>
          <w:rFonts w:ascii="Arial" w:hAnsi="Arial" w:cs="Arial"/>
          <w:shd w:val="clear" w:color="auto" w:fill="FFFFFF"/>
        </w:rPr>
        <w:t>1988, párr</w:t>
      </w:r>
      <w:r w:rsidR="00EC6544">
        <w:rPr>
          <w:rFonts w:ascii="Arial" w:hAnsi="Arial" w:cs="Arial"/>
          <w:shd w:val="clear" w:color="auto" w:fill="FFFFFF"/>
        </w:rPr>
        <w:t>afo</w:t>
      </w:r>
      <w:r w:rsidR="00EC6544" w:rsidRPr="002D643C">
        <w:rPr>
          <w:rFonts w:ascii="Arial" w:hAnsi="Arial" w:cs="Arial"/>
          <w:shd w:val="clear" w:color="auto" w:fill="FFFFFF"/>
        </w:rPr>
        <w:t xml:space="preserve"> 166</w:t>
      </w:r>
      <w:r w:rsidR="00EC6544">
        <w:rPr>
          <w:rFonts w:ascii="Arial" w:hAnsi="Arial" w:cs="Arial"/>
          <w:shd w:val="clear" w:color="auto" w:fill="FFFFFF"/>
        </w:rPr>
        <w:t>)</w:t>
      </w:r>
      <w:r w:rsidR="00EC6544" w:rsidRPr="002D643C">
        <w:rPr>
          <w:rFonts w:ascii="Arial" w:hAnsi="Arial" w:cs="Arial"/>
          <w:shd w:val="clear" w:color="auto" w:fill="FFFFFF"/>
        </w:rPr>
        <w:t>.</w:t>
      </w:r>
      <w:r w:rsidR="00EC6544" w:rsidRPr="009E3C4C">
        <w:rPr>
          <w:rFonts w:cs="Arial"/>
          <w:sz w:val="18"/>
          <w:szCs w:val="16"/>
          <w:shd w:val="clear" w:color="auto" w:fill="FFFFFF"/>
        </w:rPr>
        <w:t xml:space="preserve"> </w:t>
      </w:r>
    </w:p>
    <w:p w14:paraId="16E7DBC8" w14:textId="77777777" w:rsidR="002D643C" w:rsidRPr="007D181E" w:rsidRDefault="002D643C" w:rsidP="002D643C">
      <w:pPr>
        <w:pStyle w:val="NormalWeb"/>
        <w:spacing w:before="0" w:beforeAutospacing="0" w:after="0" w:afterAutospacing="0" w:line="360" w:lineRule="auto"/>
        <w:jc w:val="both"/>
        <w:rPr>
          <w:rFonts w:ascii="Arial" w:hAnsi="Arial" w:cs="Arial"/>
        </w:rPr>
      </w:pPr>
    </w:p>
    <w:p w14:paraId="4C55671C" w14:textId="3F3EF1CA" w:rsidR="00F040C8" w:rsidRPr="00EC6544" w:rsidRDefault="00F040C8" w:rsidP="00347B16">
      <w:pPr>
        <w:widowControl w:val="0"/>
        <w:autoSpaceDE w:val="0"/>
        <w:autoSpaceDN w:val="0"/>
        <w:adjustRightInd w:val="0"/>
        <w:spacing w:line="360" w:lineRule="auto"/>
        <w:jc w:val="both"/>
        <w:rPr>
          <w:rFonts w:ascii="Arial" w:hAnsi="Arial" w:cs="Arial"/>
        </w:rPr>
      </w:pPr>
      <w:r w:rsidRPr="007D181E">
        <w:rPr>
          <w:rFonts w:ascii="Arial" w:hAnsi="Arial" w:cs="Arial"/>
        </w:rPr>
        <w:t>Por su parte, la S</w:t>
      </w:r>
      <w:r w:rsidR="009F147F">
        <w:rPr>
          <w:rFonts w:ascii="Arial" w:hAnsi="Arial" w:cs="Arial"/>
        </w:rPr>
        <w:t>uprema Corte de Justicia de la Nación (S</w:t>
      </w:r>
      <w:r w:rsidRPr="007D181E">
        <w:rPr>
          <w:rFonts w:ascii="Arial" w:hAnsi="Arial" w:cs="Arial"/>
        </w:rPr>
        <w:t>CJN</w:t>
      </w:r>
      <w:r w:rsidR="009F147F">
        <w:rPr>
          <w:rFonts w:ascii="Arial" w:hAnsi="Arial" w:cs="Arial"/>
        </w:rPr>
        <w:t>)</w:t>
      </w:r>
      <w:r w:rsidRPr="007D181E">
        <w:rPr>
          <w:rFonts w:ascii="Arial" w:hAnsi="Arial" w:cs="Arial"/>
        </w:rPr>
        <w:t xml:space="preserve"> </w:t>
      </w:r>
      <w:r w:rsidR="00B97FE3">
        <w:rPr>
          <w:rFonts w:ascii="Arial" w:hAnsi="Arial" w:cs="Arial"/>
        </w:rPr>
        <w:t>señala</w:t>
      </w:r>
      <w:r w:rsidRPr="007D181E">
        <w:rPr>
          <w:rFonts w:ascii="Arial" w:hAnsi="Arial" w:cs="Arial"/>
        </w:rPr>
        <w:t xml:space="preserve"> que la obligación de prevenir, investigar y sancionar la violencia contra las mujeres y la no discriminación, así como garantizar el acceso a mecanismo</w:t>
      </w:r>
      <w:r w:rsidR="009F147F">
        <w:rPr>
          <w:rFonts w:ascii="Arial" w:hAnsi="Arial" w:cs="Arial"/>
        </w:rPr>
        <w:t>s</w:t>
      </w:r>
      <w:r w:rsidRPr="007D181E">
        <w:rPr>
          <w:rFonts w:ascii="Arial" w:hAnsi="Arial" w:cs="Arial"/>
        </w:rPr>
        <w:t xml:space="preserve"> judiciales adecuados y efectivos para combatirlas, no sólo corresponde al agente encargado de la investigación, sino que crea obligaciones a todas las autoridades</w:t>
      </w:r>
      <w:r w:rsidR="00EC6544">
        <w:rPr>
          <w:rFonts w:ascii="Arial" w:hAnsi="Arial" w:cs="Arial"/>
        </w:rPr>
        <w:t xml:space="preserve"> (Amparo en revisión 554/2013).</w:t>
      </w:r>
    </w:p>
    <w:p w14:paraId="1986138B" w14:textId="77777777" w:rsidR="00347B16" w:rsidRPr="007D181E" w:rsidRDefault="00347B16" w:rsidP="00347B16">
      <w:pPr>
        <w:widowControl w:val="0"/>
        <w:autoSpaceDE w:val="0"/>
        <w:autoSpaceDN w:val="0"/>
        <w:adjustRightInd w:val="0"/>
        <w:spacing w:line="360" w:lineRule="auto"/>
        <w:jc w:val="both"/>
        <w:rPr>
          <w:rFonts w:ascii="Arial" w:hAnsi="Arial" w:cs="Arial"/>
        </w:rPr>
      </w:pPr>
    </w:p>
    <w:p w14:paraId="03618374" w14:textId="57806D9B" w:rsidR="00F040C8" w:rsidRDefault="007D181E" w:rsidP="00347B16">
      <w:pPr>
        <w:autoSpaceDE w:val="0"/>
        <w:autoSpaceDN w:val="0"/>
        <w:adjustRightInd w:val="0"/>
        <w:spacing w:line="360" w:lineRule="auto"/>
        <w:jc w:val="both"/>
        <w:rPr>
          <w:rFonts w:ascii="Arial" w:hAnsi="Arial" w:cs="Arial"/>
        </w:rPr>
      </w:pPr>
      <w:r>
        <w:rPr>
          <w:rFonts w:ascii="Arial" w:hAnsi="Arial" w:cs="Arial"/>
        </w:rPr>
        <w:t xml:space="preserve">En esa misma sintonía, la </w:t>
      </w:r>
      <w:r w:rsidR="00F040C8" w:rsidRPr="007D181E">
        <w:rPr>
          <w:rFonts w:ascii="Arial" w:hAnsi="Arial" w:cs="Arial"/>
        </w:rPr>
        <w:t xml:space="preserve">Sala Superior </w:t>
      </w:r>
      <w:r w:rsidR="002D643C" w:rsidRPr="007D181E">
        <w:rPr>
          <w:rFonts w:ascii="Arial" w:hAnsi="Arial" w:cs="Arial"/>
        </w:rPr>
        <w:t xml:space="preserve">del TEPJF </w:t>
      </w:r>
      <w:r w:rsidR="00F040C8" w:rsidRPr="007D181E">
        <w:rPr>
          <w:rFonts w:ascii="Arial" w:hAnsi="Arial" w:cs="Arial"/>
        </w:rPr>
        <w:t xml:space="preserve">ha </w:t>
      </w:r>
      <w:r w:rsidR="00B97FE3">
        <w:rPr>
          <w:rFonts w:ascii="Arial" w:hAnsi="Arial" w:cs="Arial"/>
        </w:rPr>
        <w:t>determinado</w:t>
      </w:r>
      <w:r w:rsidR="00B97FE3" w:rsidRPr="007D181E">
        <w:rPr>
          <w:rFonts w:ascii="Arial" w:hAnsi="Arial" w:cs="Arial"/>
        </w:rPr>
        <w:t xml:space="preserve"> </w:t>
      </w:r>
      <w:r w:rsidR="00F040C8" w:rsidRPr="007D181E">
        <w:rPr>
          <w:rFonts w:ascii="Arial" w:hAnsi="Arial" w:cs="Arial"/>
        </w:rPr>
        <w:t>que las autoridades electorales están obligadas a evitar la afectación de derechos políticos por hechos u omisiones vinculadas con violencia política de género, y están obligadas</w:t>
      </w:r>
      <w:r w:rsidR="00F040C8" w:rsidRPr="00D050DF">
        <w:rPr>
          <w:rFonts w:ascii="Arial" w:hAnsi="Arial" w:cs="Arial"/>
          <w:bCs/>
        </w:rPr>
        <w:t xml:space="preserve"> </w:t>
      </w:r>
      <w:r w:rsidR="00F040C8">
        <w:rPr>
          <w:rFonts w:ascii="Arial" w:hAnsi="Arial" w:cs="Arial"/>
          <w:bCs/>
        </w:rPr>
        <w:t>a</w:t>
      </w:r>
      <w:r w:rsidR="00F040C8" w:rsidRPr="00D050DF">
        <w:rPr>
          <w:rFonts w:ascii="Arial" w:hAnsi="Arial" w:cs="Arial"/>
          <w:bCs/>
        </w:rPr>
        <w:t xml:space="preserve"> actuar con debida diligencia, </w:t>
      </w:r>
      <w:r w:rsidR="00F040C8">
        <w:rPr>
          <w:rFonts w:ascii="Arial" w:hAnsi="Arial" w:cs="Arial"/>
        </w:rPr>
        <w:t xml:space="preserve">a analizar </w:t>
      </w:r>
      <w:r w:rsidR="00F040C8" w:rsidRPr="00D050DF">
        <w:rPr>
          <w:rFonts w:ascii="Arial" w:hAnsi="Arial" w:cs="Arial"/>
        </w:rPr>
        <w:t xml:space="preserve">todos los hechos y agravios </w:t>
      </w:r>
      <w:r w:rsidR="00F040C8" w:rsidRPr="00D050DF">
        <w:rPr>
          <w:rFonts w:ascii="Arial" w:hAnsi="Arial" w:cs="Arial"/>
        </w:rPr>
        <w:lastRenderedPageBreak/>
        <w:t xml:space="preserve">expuestos, </w:t>
      </w:r>
      <w:r w:rsidR="00F040C8">
        <w:rPr>
          <w:rFonts w:ascii="Arial" w:hAnsi="Arial" w:cs="Arial"/>
        </w:rPr>
        <w:t>para</w:t>
      </w:r>
      <w:r w:rsidR="00F040C8" w:rsidRPr="00D050DF">
        <w:rPr>
          <w:rFonts w:ascii="Arial" w:hAnsi="Arial" w:cs="Arial"/>
        </w:rPr>
        <w:t xml:space="preserve"> hacer efectivo el acceso a la justicia y el debido proceso</w:t>
      </w:r>
      <w:r w:rsidR="00EC6544">
        <w:rPr>
          <w:rFonts w:ascii="Arial" w:hAnsi="Arial" w:cs="Arial"/>
        </w:rPr>
        <w:t xml:space="preserve"> (</w:t>
      </w:r>
      <w:r w:rsidR="00EC6544" w:rsidRPr="002D643C">
        <w:rPr>
          <w:rFonts w:ascii="Arial" w:hAnsi="Arial" w:cs="Arial"/>
        </w:rPr>
        <w:t>Jurisprudencia 48/2016</w:t>
      </w:r>
      <w:r w:rsidR="00EC6544">
        <w:rPr>
          <w:rFonts w:ascii="Arial" w:hAnsi="Arial" w:cs="Arial"/>
        </w:rPr>
        <w:t>)</w:t>
      </w:r>
      <w:r w:rsidR="00F040C8">
        <w:rPr>
          <w:rFonts w:ascii="Arial" w:hAnsi="Arial" w:cs="Arial"/>
          <w:bCs/>
        </w:rPr>
        <w:t>.</w:t>
      </w:r>
      <w:r w:rsidR="00F040C8" w:rsidRPr="004D7878">
        <w:rPr>
          <w:rFonts w:ascii="Arial" w:hAnsi="Arial" w:cs="Arial"/>
        </w:rPr>
        <w:t xml:space="preserve"> </w:t>
      </w:r>
    </w:p>
    <w:p w14:paraId="6B03E851" w14:textId="69368179" w:rsidR="00F040C8" w:rsidRPr="004D7878" w:rsidRDefault="00F040C8" w:rsidP="00F040C8">
      <w:pPr>
        <w:pStyle w:val="NormalWeb"/>
        <w:spacing w:line="360" w:lineRule="auto"/>
        <w:jc w:val="both"/>
        <w:rPr>
          <w:rFonts w:ascii="Arial" w:hAnsi="Arial" w:cs="Arial"/>
          <w:bCs/>
        </w:rPr>
      </w:pPr>
      <w:r>
        <w:rPr>
          <w:rFonts w:ascii="Arial" w:eastAsiaTheme="minorHAnsi" w:hAnsi="Arial" w:cs="Arial"/>
          <w:lang w:val="es-ES_tradnl" w:eastAsia="en-US"/>
        </w:rPr>
        <w:t>Asimismo</w:t>
      </w:r>
      <w:r w:rsidRPr="004D7878">
        <w:rPr>
          <w:rFonts w:ascii="Arial" w:eastAsiaTheme="minorHAnsi" w:hAnsi="Arial" w:cs="Arial"/>
          <w:lang w:val="es-ES_tradnl" w:eastAsia="en-US"/>
        </w:rPr>
        <w:t xml:space="preserve">, </w:t>
      </w:r>
      <w:r w:rsidR="007D181E">
        <w:rPr>
          <w:rFonts w:ascii="Arial" w:eastAsiaTheme="minorHAnsi" w:hAnsi="Arial" w:cs="Arial"/>
          <w:lang w:val="es-ES_tradnl" w:eastAsia="en-US"/>
        </w:rPr>
        <w:t xml:space="preserve">la misma </w:t>
      </w:r>
      <w:r w:rsidRPr="004D7878">
        <w:rPr>
          <w:rFonts w:ascii="Arial" w:eastAsiaTheme="minorHAnsi" w:hAnsi="Arial" w:cs="Arial"/>
          <w:lang w:val="es-ES_tradnl" w:eastAsia="en-US"/>
        </w:rPr>
        <w:t xml:space="preserve">Sala Superior ha sustentado </w:t>
      </w:r>
      <w:r w:rsidRPr="004D7878">
        <w:rPr>
          <w:rFonts w:ascii="Arial" w:hAnsi="Arial" w:cs="Arial"/>
          <w:lang w:val="es-ES_tradnl"/>
        </w:rPr>
        <w:t>cinco elementos que configuran y demuestran la existencia de violencia política de género</w:t>
      </w:r>
      <w:r w:rsidR="00EC6544">
        <w:rPr>
          <w:rFonts w:ascii="Arial" w:hAnsi="Arial" w:cs="Arial"/>
          <w:lang w:val="es-ES_tradnl"/>
        </w:rPr>
        <w:t xml:space="preserve"> (Jurisprudencia 21/2018)</w:t>
      </w:r>
      <w:r w:rsidRPr="004D7878">
        <w:rPr>
          <w:rFonts w:ascii="Arial" w:hAnsi="Arial" w:cs="Arial"/>
          <w:lang w:val="es-ES_tradnl"/>
        </w:rPr>
        <w:t>:</w:t>
      </w:r>
    </w:p>
    <w:p w14:paraId="0FF45467" w14:textId="77777777" w:rsidR="00F040C8" w:rsidRPr="004D7878" w:rsidRDefault="00F040C8" w:rsidP="00F040C8">
      <w:pPr>
        <w:autoSpaceDE w:val="0"/>
        <w:autoSpaceDN w:val="0"/>
        <w:adjustRightInd w:val="0"/>
        <w:spacing w:before="100" w:beforeAutospacing="1" w:after="100" w:afterAutospacing="1" w:line="360" w:lineRule="auto"/>
        <w:jc w:val="both"/>
        <w:rPr>
          <w:rFonts w:ascii="Arial" w:hAnsi="Arial" w:cs="Arial"/>
          <w:lang w:val="es-ES_tradnl"/>
        </w:rPr>
      </w:pPr>
      <w:r w:rsidRPr="004D7878">
        <w:rPr>
          <w:rFonts w:ascii="Arial" w:hAnsi="Arial" w:cs="Arial"/>
          <w:b/>
          <w:lang w:val="es-ES_tradnl"/>
        </w:rPr>
        <w:t>i.</w:t>
      </w:r>
      <w:r w:rsidRPr="004D7878">
        <w:rPr>
          <w:rFonts w:ascii="Arial" w:hAnsi="Arial" w:cs="Arial"/>
          <w:lang w:val="es-ES_tradnl"/>
        </w:rPr>
        <w:t xml:space="preserve"> Que el acto u omisión se dé en el marco del ejercicio de derechos político-electorales, o bien en el ejercicio de un cargo público;</w:t>
      </w:r>
    </w:p>
    <w:p w14:paraId="2B56B954" w14:textId="77777777" w:rsidR="00F040C8" w:rsidRPr="004D7878" w:rsidRDefault="00F040C8" w:rsidP="00F040C8">
      <w:pPr>
        <w:autoSpaceDE w:val="0"/>
        <w:autoSpaceDN w:val="0"/>
        <w:adjustRightInd w:val="0"/>
        <w:spacing w:before="100" w:beforeAutospacing="1" w:after="100" w:afterAutospacing="1" w:line="360" w:lineRule="auto"/>
        <w:jc w:val="both"/>
        <w:rPr>
          <w:rFonts w:ascii="Arial" w:eastAsia="Calibri" w:hAnsi="Arial" w:cs="Arial"/>
          <w:b/>
          <w:u w:color="000000"/>
          <w:lang w:val="es-ES_tradnl"/>
        </w:rPr>
      </w:pPr>
      <w:proofErr w:type="spellStart"/>
      <w:r w:rsidRPr="004D7878">
        <w:rPr>
          <w:rFonts w:ascii="Arial" w:hAnsi="Arial" w:cs="Arial"/>
          <w:b/>
          <w:lang w:val="es-ES_tradnl"/>
        </w:rPr>
        <w:t>ii</w:t>
      </w:r>
      <w:proofErr w:type="spellEnd"/>
      <w:r w:rsidRPr="004D7878">
        <w:rPr>
          <w:rFonts w:ascii="Arial" w:hAnsi="Arial" w:cs="Arial"/>
          <w:b/>
          <w:lang w:val="es-ES_tradnl"/>
        </w:rPr>
        <w:t>.</w:t>
      </w:r>
      <w:r w:rsidRPr="004D7878">
        <w:rPr>
          <w:rFonts w:ascii="Arial" w:hAnsi="Arial" w:cs="Arial"/>
          <w:lang w:val="es-ES_tradnl"/>
        </w:rPr>
        <w:t xml:space="preserve"> Sea perpetrado por el Estado o sus agentes, superiores jerárquicos, colegas de trabajo, partidos políticos o representantes de estos; medios de comunicación y sus integrantes, un particular y/o un grupo de personas;</w:t>
      </w:r>
    </w:p>
    <w:p w14:paraId="3910910D" w14:textId="77777777" w:rsidR="00F040C8" w:rsidRPr="004D7878" w:rsidRDefault="00F040C8" w:rsidP="00F040C8">
      <w:pPr>
        <w:autoSpaceDE w:val="0"/>
        <w:autoSpaceDN w:val="0"/>
        <w:adjustRightInd w:val="0"/>
        <w:spacing w:before="100" w:beforeAutospacing="1" w:after="100" w:afterAutospacing="1" w:line="360" w:lineRule="auto"/>
        <w:jc w:val="both"/>
        <w:rPr>
          <w:rFonts w:ascii="Arial" w:eastAsia="Calibri" w:hAnsi="Arial" w:cs="Arial"/>
          <w:b/>
          <w:u w:color="000000"/>
          <w:lang w:val="es-ES_tradnl"/>
        </w:rPr>
      </w:pPr>
      <w:proofErr w:type="spellStart"/>
      <w:r w:rsidRPr="004D7878">
        <w:rPr>
          <w:rFonts w:ascii="Arial" w:hAnsi="Arial" w:cs="Arial"/>
          <w:b/>
          <w:lang w:val="es-ES_tradnl"/>
        </w:rPr>
        <w:t>iii</w:t>
      </w:r>
      <w:proofErr w:type="spellEnd"/>
      <w:r w:rsidRPr="004D7878">
        <w:rPr>
          <w:rFonts w:ascii="Arial" w:hAnsi="Arial" w:cs="Arial"/>
          <w:b/>
          <w:lang w:val="es-ES_tradnl"/>
        </w:rPr>
        <w:t>.</w:t>
      </w:r>
      <w:r w:rsidRPr="004D7878">
        <w:rPr>
          <w:rFonts w:ascii="Arial" w:hAnsi="Arial" w:cs="Arial"/>
          <w:lang w:val="es-ES_tradnl"/>
        </w:rPr>
        <w:t xml:space="preserve"> Sea simbólico, verbal, patrimonial, económico, físico, sexual y/o psicológico;</w:t>
      </w:r>
    </w:p>
    <w:p w14:paraId="4B9968C7" w14:textId="77777777" w:rsidR="00F040C8" w:rsidRPr="004D7878" w:rsidRDefault="00F040C8" w:rsidP="00F040C8">
      <w:pPr>
        <w:autoSpaceDE w:val="0"/>
        <w:autoSpaceDN w:val="0"/>
        <w:adjustRightInd w:val="0"/>
        <w:spacing w:before="100" w:beforeAutospacing="1" w:after="100" w:afterAutospacing="1" w:line="360" w:lineRule="auto"/>
        <w:jc w:val="both"/>
        <w:rPr>
          <w:rFonts w:ascii="Arial" w:eastAsia="Calibri" w:hAnsi="Arial" w:cs="Arial"/>
          <w:b/>
          <w:u w:color="000000"/>
          <w:lang w:val="es-ES_tradnl"/>
        </w:rPr>
      </w:pPr>
      <w:proofErr w:type="spellStart"/>
      <w:r w:rsidRPr="004D7878">
        <w:rPr>
          <w:rFonts w:ascii="Arial" w:hAnsi="Arial" w:cs="Arial"/>
          <w:b/>
          <w:lang w:val="es-ES_tradnl"/>
        </w:rPr>
        <w:t>iv</w:t>
      </w:r>
      <w:proofErr w:type="spellEnd"/>
      <w:r w:rsidRPr="004D7878">
        <w:rPr>
          <w:rFonts w:ascii="Arial" w:hAnsi="Arial" w:cs="Arial"/>
          <w:b/>
          <w:lang w:val="es-ES_tradnl"/>
        </w:rPr>
        <w:t>.</w:t>
      </w:r>
      <w:r w:rsidRPr="004D7878">
        <w:rPr>
          <w:rFonts w:ascii="Arial" w:hAnsi="Arial" w:cs="Arial"/>
          <w:lang w:val="es-ES_tradnl"/>
        </w:rPr>
        <w:t xml:space="preserve"> Tenga por objeto o resultado menoscabar o anular el reconocimiento, goce y/o ejercicio de los derechos político-electorales de las mujeres, y</w:t>
      </w:r>
    </w:p>
    <w:p w14:paraId="47D76F7E" w14:textId="5BB03DD9" w:rsidR="0025353B" w:rsidRPr="00B76449" w:rsidRDefault="00F040C8" w:rsidP="00B76449">
      <w:pPr>
        <w:autoSpaceDE w:val="0"/>
        <w:autoSpaceDN w:val="0"/>
        <w:adjustRightInd w:val="0"/>
        <w:spacing w:before="100" w:beforeAutospacing="1" w:after="100" w:afterAutospacing="1" w:line="360" w:lineRule="auto"/>
        <w:jc w:val="both"/>
        <w:rPr>
          <w:rFonts w:ascii="Arial" w:hAnsi="Arial" w:cs="Arial"/>
          <w:lang w:val="es-ES_tradnl"/>
        </w:rPr>
      </w:pPr>
      <w:r w:rsidRPr="004D7878">
        <w:rPr>
          <w:rFonts w:ascii="Arial" w:hAnsi="Arial" w:cs="Arial"/>
          <w:b/>
          <w:lang w:val="es-ES_tradnl"/>
        </w:rPr>
        <w:t xml:space="preserve">v. </w:t>
      </w:r>
      <w:r w:rsidRPr="004D7878">
        <w:rPr>
          <w:rFonts w:ascii="Arial" w:hAnsi="Arial" w:cs="Arial"/>
          <w:lang w:val="es-ES_tradnl"/>
        </w:rPr>
        <w:t xml:space="preserve">Se base en elementos de género: </w:t>
      </w:r>
      <w:r w:rsidRPr="004D7878">
        <w:rPr>
          <w:rFonts w:ascii="Arial" w:hAnsi="Arial" w:cs="Arial"/>
          <w:i/>
          <w:lang w:val="es-ES_tradnl"/>
        </w:rPr>
        <w:t>i.</w:t>
      </w:r>
      <w:r w:rsidRPr="004D7878">
        <w:rPr>
          <w:rFonts w:ascii="Arial" w:hAnsi="Arial" w:cs="Arial"/>
          <w:lang w:val="es-ES_tradnl"/>
        </w:rPr>
        <w:t xml:space="preserve"> se dirija a una mujer por ser mujer; </w:t>
      </w:r>
      <w:proofErr w:type="spellStart"/>
      <w:r w:rsidRPr="004D7878">
        <w:rPr>
          <w:rFonts w:ascii="Arial" w:hAnsi="Arial" w:cs="Arial"/>
          <w:i/>
          <w:lang w:val="es-ES_tradnl"/>
        </w:rPr>
        <w:t>ii</w:t>
      </w:r>
      <w:proofErr w:type="spellEnd"/>
      <w:r w:rsidRPr="004D7878">
        <w:rPr>
          <w:rFonts w:ascii="Arial" w:hAnsi="Arial" w:cs="Arial"/>
          <w:i/>
          <w:lang w:val="es-ES_tradnl"/>
        </w:rPr>
        <w:t>.</w:t>
      </w:r>
      <w:r w:rsidRPr="004D7878">
        <w:rPr>
          <w:rFonts w:ascii="Arial" w:hAnsi="Arial" w:cs="Arial"/>
          <w:lang w:val="es-ES_tradnl"/>
        </w:rPr>
        <w:t xml:space="preserve"> tenga un impacto diferenciado en las mujeres y </w:t>
      </w:r>
      <w:proofErr w:type="spellStart"/>
      <w:r w:rsidRPr="004D7878">
        <w:rPr>
          <w:rFonts w:ascii="Arial" w:hAnsi="Arial" w:cs="Arial"/>
          <w:i/>
          <w:lang w:val="es-ES_tradnl"/>
        </w:rPr>
        <w:t>iii</w:t>
      </w:r>
      <w:proofErr w:type="spellEnd"/>
      <w:r w:rsidRPr="004D7878">
        <w:rPr>
          <w:rFonts w:ascii="Arial" w:hAnsi="Arial" w:cs="Arial"/>
          <w:i/>
          <w:lang w:val="es-ES_tradnl"/>
        </w:rPr>
        <w:t>.</w:t>
      </w:r>
      <w:r w:rsidRPr="004D7878">
        <w:rPr>
          <w:rFonts w:ascii="Arial" w:hAnsi="Arial" w:cs="Arial"/>
          <w:lang w:val="es-ES_tradnl"/>
        </w:rPr>
        <w:t xml:space="preserve"> afecte desproporcionadamente a las mujeres.</w:t>
      </w:r>
      <w:r w:rsidR="003F6617" w:rsidRPr="003F6617">
        <w:rPr>
          <w:rFonts w:ascii="Arial" w:hAnsi="Arial" w:cs="Arial"/>
          <w:highlight w:val="yellow"/>
        </w:rPr>
        <w:t xml:space="preserve"> </w:t>
      </w:r>
    </w:p>
    <w:p w14:paraId="5A6085A1" w14:textId="1DCC44E3" w:rsidR="006549DA" w:rsidRDefault="002169E2" w:rsidP="006549DA">
      <w:pPr>
        <w:spacing w:line="360" w:lineRule="auto"/>
        <w:ind w:right="49"/>
        <w:jc w:val="both"/>
        <w:rPr>
          <w:rFonts w:ascii="Arial" w:hAnsi="Arial" w:cs="Arial"/>
        </w:rPr>
      </w:pPr>
      <w:r>
        <w:rPr>
          <w:rFonts w:ascii="Arial" w:hAnsi="Arial" w:cs="Arial"/>
        </w:rPr>
        <w:t>En ese sentido, l</w:t>
      </w:r>
      <w:r w:rsidR="006549DA" w:rsidRPr="0040481B">
        <w:rPr>
          <w:rFonts w:ascii="Arial" w:hAnsi="Arial" w:cs="Arial"/>
        </w:rPr>
        <w:t xml:space="preserve">a violencia política de género es un tema de discriminación por sexo o género </w:t>
      </w:r>
      <w:r>
        <w:rPr>
          <w:rFonts w:ascii="Arial" w:hAnsi="Arial" w:cs="Arial"/>
        </w:rPr>
        <w:t>hacia</w:t>
      </w:r>
      <w:r w:rsidR="006549DA" w:rsidRPr="0040481B">
        <w:rPr>
          <w:rFonts w:ascii="Arial" w:hAnsi="Arial" w:cs="Arial"/>
        </w:rPr>
        <w:t xml:space="preserve"> la víctima. Esto es, que la persona que es agredida lo es, simplemente por tener el sexo o género con el cual se identifica, de tal suerte que, ello en términos del principio de igualdad y no discriminación, </w:t>
      </w:r>
      <w:r>
        <w:rPr>
          <w:rFonts w:ascii="Arial" w:hAnsi="Arial" w:cs="Arial"/>
        </w:rPr>
        <w:t xml:space="preserve">lo cual </w:t>
      </w:r>
      <w:r w:rsidR="006549DA" w:rsidRPr="0040481B">
        <w:rPr>
          <w:rFonts w:ascii="Arial" w:hAnsi="Arial" w:cs="Arial"/>
        </w:rPr>
        <w:t>resulta totalmente injustificado</w:t>
      </w:r>
      <w:r>
        <w:rPr>
          <w:rFonts w:ascii="Arial" w:hAnsi="Arial" w:cs="Arial"/>
        </w:rPr>
        <w:t xml:space="preserve">, ilógico y nada razonable. </w:t>
      </w:r>
    </w:p>
    <w:p w14:paraId="244CF567" w14:textId="77777777" w:rsidR="002D643C" w:rsidRPr="002F5FE5" w:rsidRDefault="002D643C" w:rsidP="002D643C">
      <w:pPr>
        <w:autoSpaceDE w:val="0"/>
        <w:autoSpaceDN w:val="0"/>
        <w:adjustRightInd w:val="0"/>
        <w:spacing w:line="360" w:lineRule="auto"/>
        <w:jc w:val="both"/>
        <w:rPr>
          <w:rFonts w:ascii="Arial" w:hAnsi="Arial" w:cs="Arial"/>
          <w:highlight w:val="green"/>
          <w:lang w:val="es-ES_tradnl"/>
        </w:rPr>
      </w:pPr>
    </w:p>
    <w:p w14:paraId="243333B2" w14:textId="762A5E16" w:rsidR="002D643C" w:rsidRPr="002169E2" w:rsidRDefault="002D643C" w:rsidP="002D643C">
      <w:pPr>
        <w:autoSpaceDE w:val="0"/>
        <w:autoSpaceDN w:val="0"/>
        <w:adjustRightInd w:val="0"/>
        <w:spacing w:line="360" w:lineRule="auto"/>
        <w:jc w:val="both"/>
        <w:rPr>
          <w:rFonts w:ascii="Arial" w:hAnsi="Arial" w:cs="Arial"/>
          <w:lang w:val="es-ES_tradnl"/>
        </w:rPr>
      </w:pPr>
      <w:r w:rsidRPr="002169E2">
        <w:rPr>
          <w:rFonts w:ascii="Arial" w:hAnsi="Arial" w:cs="Arial"/>
          <w:lang w:val="es-ES_tradnl"/>
        </w:rPr>
        <w:t xml:space="preserve">Todo acto de violencia es en sí, un acto de discriminación, y si se trata de violencia política por razones de género, es además de ello una acción de rechazo a “otro” género por el hecho de serlo. </w:t>
      </w:r>
    </w:p>
    <w:p w14:paraId="526860F6" w14:textId="77777777" w:rsidR="002D643C" w:rsidRPr="002169E2" w:rsidRDefault="002D643C" w:rsidP="002D643C">
      <w:pPr>
        <w:autoSpaceDE w:val="0"/>
        <w:autoSpaceDN w:val="0"/>
        <w:adjustRightInd w:val="0"/>
        <w:spacing w:line="360" w:lineRule="auto"/>
        <w:jc w:val="both"/>
        <w:rPr>
          <w:rFonts w:ascii="Arial" w:hAnsi="Arial" w:cs="Arial"/>
          <w:lang w:val="es-ES_tradnl"/>
        </w:rPr>
      </w:pPr>
    </w:p>
    <w:p w14:paraId="6337CA9A" w14:textId="3D636BD7" w:rsidR="002D643C" w:rsidRPr="002169E2" w:rsidRDefault="002D643C" w:rsidP="002D643C">
      <w:pPr>
        <w:autoSpaceDE w:val="0"/>
        <w:autoSpaceDN w:val="0"/>
        <w:adjustRightInd w:val="0"/>
        <w:spacing w:line="360" w:lineRule="auto"/>
        <w:jc w:val="both"/>
        <w:rPr>
          <w:rFonts w:ascii="Arial" w:hAnsi="Arial" w:cs="Arial"/>
          <w:lang w:val="es-ES_tradnl"/>
        </w:rPr>
      </w:pPr>
      <w:r w:rsidRPr="002169E2">
        <w:rPr>
          <w:rFonts w:ascii="Arial" w:hAnsi="Arial" w:cs="Arial"/>
          <w:lang w:val="es-ES_tradnl"/>
        </w:rPr>
        <w:lastRenderedPageBreak/>
        <w:t xml:space="preserve">Así, para resolver los casos relacionados con la violencia política </w:t>
      </w:r>
      <w:proofErr w:type="gramStart"/>
      <w:r w:rsidRPr="002169E2">
        <w:rPr>
          <w:rFonts w:ascii="Arial" w:hAnsi="Arial" w:cs="Arial"/>
          <w:lang w:val="es-ES_tradnl"/>
        </w:rPr>
        <w:t>en razón de</w:t>
      </w:r>
      <w:proofErr w:type="gramEnd"/>
      <w:r w:rsidRPr="002169E2">
        <w:rPr>
          <w:rFonts w:ascii="Arial" w:hAnsi="Arial" w:cs="Arial"/>
          <w:lang w:val="es-ES_tradnl"/>
        </w:rPr>
        <w:t xml:space="preserve"> género, se debe comprender que se está ante posibles actos de discriminación y desigualdad</w:t>
      </w:r>
      <w:r w:rsidR="00B97FE3">
        <w:rPr>
          <w:rFonts w:ascii="Arial" w:hAnsi="Arial" w:cs="Arial"/>
          <w:lang w:val="es-ES_tradnl"/>
        </w:rPr>
        <w:t>.</w:t>
      </w:r>
      <w:r w:rsidRPr="002169E2">
        <w:rPr>
          <w:rFonts w:ascii="Arial" w:hAnsi="Arial" w:cs="Arial"/>
          <w:lang w:val="es-ES_tradnl"/>
        </w:rPr>
        <w:t xml:space="preserve"> </w:t>
      </w:r>
    </w:p>
    <w:p w14:paraId="7A6DE620" w14:textId="65226118" w:rsidR="002D643C" w:rsidRPr="002169E2" w:rsidRDefault="002D643C" w:rsidP="002D643C">
      <w:pPr>
        <w:autoSpaceDE w:val="0"/>
        <w:autoSpaceDN w:val="0"/>
        <w:adjustRightInd w:val="0"/>
        <w:spacing w:line="360" w:lineRule="auto"/>
        <w:jc w:val="both"/>
        <w:rPr>
          <w:rFonts w:ascii="Arial" w:hAnsi="Arial" w:cs="Arial"/>
          <w:lang w:val="es-ES_tradnl"/>
        </w:rPr>
      </w:pPr>
    </w:p>
    <w:p w14:paraId="72F3BF24" w14:textId="22016150" w:rsidR="002D643C" w:rsidRDefault="002D643C" w:rsidP="002D643C">
      <w:pPr>
        <w:autoSpaceDE w:val="0"/>
        <w:autoSpaceDN w:val="0"/>
        <w:adjustRightInd w:val="0"/>
        <w:spacing w:line="360" w:lineRule="auto"/>
        <w:jc w:val="both"/>
        <w:rPr>
          <w:rFonts w:ascii="Arial" w:hAnsi="Arial" w:cs="Arial"/>
          <w:lang w:val="es-ES_tradnl"/>
        </w:rPr>
      </w:pPr>
      <w:r w:rsidRPr="002169E2">
        <w:rPr>
          <w:rFonts w:ascii="Arial" w:hAnsi="Arial" w:cs="Arial"/>
          <w:lang w:val="es-ES_tradnl"/>
        </w:rPr>
        <w:t xml:space="preserve">En armonía a ese entendido, </w:t>
      </w:r>
      <w:r w:rsidR="002F5FE5" w:rsidRPr="002169E2">
        <w:rPr>
          <w:rFonts w:ascii="Arial" w:hAnsi="Arial" w:cs="Arial"/>
          <w:lang w:val="es-ES_tradnl"/>
        </w:rPr>
        <w:t>en automático se debe posicionar la persona juzgadora con los lentes en la perspectiva de género para resolver y en la protección y tutela de los derechos vulnerados de la posible víctima.</w:t>
      </w:r>
      <w:r w:rsidR="002F5FE5">
        <w:rPr>
          <w:rFonts w:ascii="Arial" w:hAnsi="Arial" w:cs="Arial"/>
          <w:lang w:val="es-ES_tradnl"/>
        </w:rPr>
        <w:t xml:space="preserve"> </w:t>
      </w:r>
    </w:p>
    <w:p w14:paraId="445C5C1C" w14:textId="77777777" w:rsidR="002D643C" w:rsidRPr="00F040C8" w:rsidRDefault="002D643C" w:rsidP="002D643C">
      <w:pPr>
        <w:autoSpaceDE w:val="0"/>
        <w:autoSpaceDN w:val="0"/>
        <w:adjustRightInd w:val="0"/>
        <w:spacing w:line="360" w:lineRule="auto"/>
        <w:jc w:val="both"/>
        <w:rPr>
          <w:rFonts w:ascii="Arial" w:hAnsi="Arial" w:cs="Arial"/>
          <w:lang w:val="es-ES_tradnl"/>
        </w:rPr>
      </w:pPr>
    </w:p>
    <w:p w14:paraId="2C2992A6" w14:textId="4FF53D39" w:rsidR="004F7103" w:rsidRDefault="00E9471E" w:rsidP="006F70FE">
      <w:pPr>
        <w:spacing w:line="360" w:lineRule="auto"/>
        <w:ind w:right="49"/>
        <w:jc w:val="both"/>
        <w:rPr>
          <w:rFonts w:ascii="Arial" w:hAnsi="Arial" w:cs="Arial"/>
          <w:b/>
          <w:bCs/>
        </w:rPr>
      </w:pPr>
      <w:r w:rsidRPr="00E9471E">
        <w:rPr>
          <w:rFonts w:ascii="Arial" w:hAnsi="Arial" w:cs="Arial"/>
          <w:b/>
          <w:bCs/>
        </w:rPr>
        <w:t xml:space="preserve">III. Juzgar con perspectiva de género </w:t>
      </w:r>
      <w:r w:rsidR="002F5A1A">
        <w:rPr>
          <w:rFonts w:ascii="Arial" w:hAnsi="Arial" w:cs="Arial"/>
          <w:b/>
          <w:bCs/>
        </w:rPr>
        <w:t xml:space="preserve">los casos de </w:t>
      </w:r>
      <w:r w:rsidRPr="00E9471E">
        <w:rPr>
          <w:rFonts w:ascii="Arial" w:hAnsi="Arial" w:cs="Arial"/>
          <w:b/>
          <w:bCs/>
        </w:rPr>
        <w:t xml:space="preserve">violencia política </w:t>
      </w:r>
      <w:r w:rsidR="00347B16">
        <w:rPr>
          <w:rFonts w:ascii="Arial" w:hAnsi="Arial" w:cs="Arial"/>
          <w:b/>
          <w:bCs/>
        </w:rPr>
        <w:t xml:space="preserve">por razón </w:t>
      </w:r>
      <w:r w:rsidRPr="00E9471E">
        <w:rPr>
          <w:rFonts w:ascii="Arial" w:hAnsi="Arial" w:cs="Arial"/>
          <w:b/>
          <w:bCs/>
        </w:rPr>
        <w:t>de género.</w:t>
      </w:r>
    </w:p>
    <w:p w14:paraId="1EC408CA" w14:textId="77777777" w:rsidR="002F3189" w:rsidRDefault="002F3189" w:rsidP="006F70FE">
      <w:pPr>
        <w:spacing w:line="360" w:lineRule="auto"/>
        <w:ind w:right="49"/>
        <w:jc w:val="both"/>
        <w:rPr>
          <w:rFonts w:ascii="Arial" w:hAnsi="Arial" w:cs="Arial"/>
          <w:b/>
          <w:bCs/>
        </w:rPr>
      </w:pPr>
    </w:p>
    <w:p w14:paraId="42708348" w14:textId="5383CEB2" w:rsidR="004F7103" w:rsidRPr="00052FB1" w:rsidRDefault="004F7103" w:rsidP="004F7103">
      <w:pPr>
        <w:spacing w:line="360" w:lineRule="auto"/>
        <w:jc w:val="both"/>
        <w:rPr>
          <w:rFonts w:ascii="Arial" w:hAnsi="Arial" w:cs="Arial"/>
        </w:rPr>
      </w:pPr>
      <w:r w:rsidRPr="00052FB1">
        <w:rPr>
          <w:rFonts w:ascii="Arial" w:hAnsi="Arial" w:cs="Arial"/>
        </w:rPr>
        <w:t xml:space="preserve">Juzgar con perspectiva de género no es una </w:t>
      </w:r>
      <w:r w:rsidR="002169E2" w:rsidRPr="00052FB1">
        <w:rPr>
          <w:rFonts w:ascii="Arial" w:hAnsi="Arial" w:cs="Arial"/>
        </w:rPr>
        <w:t>elección</w:t>
      </w:r>
      <w:r w:rsidRPr="00052FB1">
        <w:rPr>
          <w:rFonts w:ascii="Arial" w:hAnsi="Arial" w:cs="Arial"/>
        </w:rPr>
        <w:t xml:space="preserve">, </w:t>
      </w:r>
      <w:r w:rsidR="002169E2">
        <w:rPr>
          <w:rFonts w:ascii="Arial" w:hAnsi="Arial" w:cs="Arial"/>
        </w:rPr>
        <w:t>sino un</w:t>
      </w:r>
      <w:r w:rsidRPr="00052FB1">
        <w:rPr>
          <w:rFonts w:ascii="Arial" w:hAnsi="Arial" w:cs="Arial"/>
        </w:rPr>
        <w:t xml:space="preserve"> deber</w:t>
      </w:r>
      <w:r w:rsidR="002169E2">
        <w:rPr>
          <w:rFonts w:ascii="Arial" w:hAnsi="Arial" w:cs="Arial"/>
        </w:rPr>
        <w:t xml:space="preserve"> </w:t>
      </w:r>
      <w:r w:rsidRPr="00052FB1">
        <w:rPr>
          <w:rFonts w:ascii="Arial" w:hAnsi="Arial" w:cs="Arial"/>
        </w:rPr>
        <w:t>de respeto en favor de todas las personas</w:t>
      </w:r>
      <w:r w:rsidR="002169E2">
        <w:rPr>
          <w:rFonts w:ascii="Arial" w:hAnsi="Arial" w:cs="Arial"/>
        </w:rPr>
        <w:t xml:space="preserve"> en el modelo de protección de los derechos humanos </w:t>
      </w:r>
      <w:r w:rsidR="00FC25EC">
        <w:rPr>
          <w:rFonts w:ascii="Arial" w:hAnsi="Arial" w:cs="Arial"/>
        </w:rPr>
        <w:t xml:space="preserve">con una permanente mirad inclusiva y de relación estrecha a una democracia con esa calidad. </w:t>
      </w:r>
    </w:p>
    <w:p w14:paraId="71693273" w14:textId="77777777" w:rsidR="004F7103" w:rsidRPr="00052FB1" w:rsidRDefault="004F7103" w:rsidP="004F7103">
      <w:pPr>
        <w:spacing w:line="360" w:lineRule="auto"/>
        <w:jc w:val="both"/>
        <w:rPr>
          <w:rFonts w:ascii="Arial" w:hAnsi="Arial" w:cs="Arial"/>
        </w:rPr>
      </w:pPr>
    </w:p>
    <w:p w14:paraId="5F83E38A" w14:textId="3FDFD63B" w:rsidR="004F7103" w:rsidRPr="00FC25EC" w:rsidRDefault="004F7103" w:rsidP="004F7103">
      <w:pPr>
        <w:spacing w:line="360" w:lineRule="auto"/>
        <w:jc w:val="both"/>
        <w:rPr>
          <w:rFonts w:ascii="Arial" w:hAnsi="Arial" w:cs="Arial"/>
        </w:rPr>
      </w:pPr>
      <w:r w:rsidRPr="00052FB1">
        <w:rPr>
          <w:rFonts w:ascii="Arial" w:hAnsi="Arial" w:cs="Arial"/>
        </w:rPr>
        <w:t xml:space="preserve">Es una cuestión </w:t>
      </w:r>
      <w:r w:rsidR="00FC25EC">
        <w:rPr>
          <w:rFonts w:ascii="Arial" w:hAnsi="Arial" w:cs="Arial"/>
        </w:rPr>
        <w:t xml:space="preserve">incondicional de justicia </w:t>
      </w:r>
      <w:r w:rsidRPr="00052FB1">
        <w:rPr>
          <w:rFonts w:ascii="Arial" w:hAnsi="Arial" w:cs="Arial"/>
        </w:rPr>
        <w:t xml:space="preserve">en la </w:t>
      </w:r>
      <w:r w:rsidR="00FC25EC">
        <w:rPr>
          <w:rFonts w:ascii="Arial" w:hAnsi="Arial" w:cs="Arial"/>
        </w:rPr>
        <w:t xml:space="preserve">que quienes juzgan reconozcan a todas las personas en términos de su propia humanidad, </w:t>
      </w:r>
      <w:r w:rsidRPr="00734BC9">
        <w:rPr>
          <w:rFonts w:ascii="Arial" w:hAnsi="Arial" w:cs="Arial"/>
          <w:shd w:val="clear" w:color="auto" w:fill="FFFFFF"/>
        </w:rPr>
        <w:t>más allá de</w:t>
      </w:r>
      <w:r w:rsidR="00FC25EC">
        <w:rPr>
          <w:rFonts w:ascii="Arial" w:hAnsi="Arial" w:cs="Arial"/>
          <w:shd w:val="clear" w:color="auto" w:fill="FFFFFF"/>
        </w:rPr>
        <w:t xml:space="preserve">l sistema estructurado </w:t>
      </w:r>
      <w:r w:rsidRPr="00734BC9">
        <w:rPr>
          <w:rFonts w:ascii="Arial" w:hAnsi="Arial" w:cs="Arial"/>
          <w:shd w:val="clear" w:color="auto" w:fill="FFFFFF"/>
        </w:rPr>
        <w:t>de simbolismos</w:t>
      </w:r>
      <w:r w:rsidR="00FC25EC">
        <w:rPr>
          <w:rFonts w:ascii="Arial" w:hAnsi="Arial" w:cs="Arial"/>
          <w:shd w:val="clear" w:color="auto" w:fill="FFFFFF"/>
        </w:rPr>
        <w:t xml:space="preserve">, muchas veces inconscientes de </w:t>
      </w:r>
      <w:r w:rsidRPr="00734BC9">
        <w:rPr>
          <w:rFonts w:ascii="Arial" w:hAnsi="Arial" w:cs="Arial"/>
          <w:shd w:val="clear" w:color="auto" w:fill="FFFFFF"/>
        </w:rPr>
        <w:t>desigualdad entre hombres y mujeres</w:t>
      </w:r>
      <w:r w:rsidR="00FC25EC">
        <w:rPr>
          <w:rFonts w:ascii="Arial" w:hAnsi="Arial" w:cs="Arial"/>
          <w:shd w:val="clear" w:color="auto" w:fill="FFFFFF"/>
        </w:rPr>
        <w:t xml:space="preserve"> en la sociedad. </w:t>
      </w:r>
      <w:r w:rsidRPr="00734BC9">
        <w:rPr>
          <w:rFonts w:ascii="Arial" w:hAnsi="Arial" w:cs="Arial"/>
          <w:shd w:val="clear" w:color="auto" w:fill="FFFFFF"/>
        </w:rPr>
        <w:t xml:space="preserve"> </w:t>
      </w:r>
    </w:p>
    <w:p w14:paraId="61BD09C3" w14:textId="77777777" w:rsidR="004F7103" w:rsidRDefault="004F7103" w:rsidP="004F7103">
      <w:pPr>
        <w:spacing w:line="360" w:lineRule="auto"/>
        <w:jc w:val="both"/>
        <w:rPr>
          <w:rFonts w:ascii="Arial" w:hAnsi="Arial" w:cs="Arial"/>
          <w:shd w:val="clear" w:color="auto" w:fill="FFFFFF"/>
        </w:rPr>
      </w:pPr>
    </w:p>
    <w:p w14:paraId="355444E9" w14:textId="546D50D9" w:rsidR="00FC25EC" w:rsidRDefault="004F7103" w:rsidP="004F7103">
      <w:pPr>
        <w:spacing w:line="360" w:lineRule="auto"/>
        <w:jc w:val="both"/>
        <w:rPr>
          <w:rFonts w:ascii="Arial" w:hAnsi="Arial" w:cs="Arial"/>
          <w:shd w:val="clear" w:color="auto" w:fill="FFFFFF"/>
        </w:rPr>
      </w:pPr>
      <w:r w:rsidRPr="00734BC9">
        <w:rPr>
          <w:rFonts w:ascii="Arial" w:hAnsi="Arial" w:cs="Arial"/>
        </w:rPr>
        <w:t xml:space="preserve">Las decisiones judiciales electorales deben tener esa perspectiva de género porque </w:t>
      </w:r>
      <w:r w:rsidR="00250910">
        <w:rPr>
          <w:rFonts w:ascii="Arial" w:hAnsi="Arial" w:cs="Arial"/>
        </w:rPr>
        <w:t>su</w:t>
      </w:r>
      <w:r w:rsidRPr="00734BC9">
        <w:rPr>
          <w:rFonts w:ascii="Arial" w:hAnsi="Arial" w:cs="Arial"/>
        </w:rPr>
        <w:t xml:space="preserve"> papel reformador de la sociedad </w:t>
      </w:r>
      <w:r w:rsidRPr="00734BC9">
        <w:rPr>
          <w:rFonts w:ascii="Arial" w:hAnsi="Arial" w:cs="Arial"/>
          <w:shd w:val="clear" w:color="auto" w:fill="FFFFFF"/>
        </w:rPr>
        <w:t>encaminad</w:t>
      </w:r>
      <w:r w:rsidR="00250910">
        <w:rPr>
          <w:rFonts w:ascii="Arial" w:hAnsi="Arial" w:cs="Arial"/>
          <w:shd w:val="clear" w:color="auto" w:fill="FFFFFF"/>
        </w:rPr>
        <w:t>o</w:t>
      </w:r>
      <w:r w:rsidRPr="00734BC9">
        <w:rPr>
          <w:rFonts w:ascii="Arial" w:hAnsi="Arial" w:cs="Arial"/>
          <w:shd w:val="clear" w:color="auto" w:fill="FFFFFF"/>
        </w:rPr>
        <w:t xml:space="preserve"> a desestructurar la discriminación, a construir igualdad</w:t>
      </w:r>
      <w:r w:rsidR="00250910">
        <w:rPr>
          <w:rFonts w:ascii="Arial" w:hAnsi="Arial" w:cs="Arial"/>
          <w:shd w:val="clear" w:color="auto" w:fill="FFFFFF"/>
        </w:rPr>
        <w:t xml:space="preserve">, está fundamentado en diversos documentos obligatorios y </w:t>
      </w:r>
      <w:r w:rsidR="00B7424B">
        <w:rPr>
          <w:rFonts w:ascii="Arial" w:hAnsi="Arial" w:cs="Arial"/>
          <w:shd w:val="clear" w:color="auto" w:fill="FFFFFF"/>
        </w:rPr>
        <w:t>vinculantes</w:t>
      </w:r>
      <w:r w:rsidR="00250910">
        <w:rPr>
          <w:rFonts w:ascii="Arial" w:hAnsi="Arial" w:cs="Arial"/>
          <w:shd w:val="clear" w:color="auto" w:fill="FFFFFF"/>
        </w:rPr>
        <w:t>.</w:t>
      </w:r>
    </w:p>
    <w:p w14:paraId="64A9D650" w14:textId="77777777" w:rsidR="00FC25EC" w:rsidRDefault="00FC25EC" w:rsidP="004F7103">
      <w:pPr>
        <w:spacing w:line="360" w:lineRule="auto"/>
        <w:jc w:val="both"/>
        <w:rPr>
          <w:rFonts w:ascii="Arial" w:hAnsi="Arial" w:cs="Arial"/>
          <w:shd w:val="clear" w:color="auto" w:fill="FFFFFF"/>
        </w:rPr>
      </w:pPr>
    </w:p>
    <w:p w14:paraId="1BA29A73" w14:textId="513E9E9B" w:rsidR="001468D8" w:rsidRDefault="00250910" w:rsidP="001468D8">
      <w:pPr>
        <w:spacing w:line="360" w:lineRule="auto"/>
        <w:jc w:val="both"/>
        <w:rPr>
          <w:rFonts w:ascii="Arial" w:hAnsi="Arial" w:cs="Arial"/>
          <w:bCs/>
        </w:rPr>
      </w:pPr>
      <w:r>
        <w:rPr>
          <w:rFonts w:ascii="Arial" w:hAnsi="Arial" w:cs="Arial"/>
          <w:bCs/>
        </w:rPr>
        <w:t xml:space="preserve">El </w:t>
      </w:r>
      <w:r w:rsidR="001468D8" w:rsidRPr="0089230D">
        <w:rPr>
          <w:rFonts w:ascii="Arial" w:hAnsi="Arial" w:cs="Arial"/>
          <w:bCs/>
        </w:rPr>
        <w:t xml:space="preserve">Protocolo para Juzgar con Perspectiva de Género de la SCJN, </w:t>
      </w:r>
      <w:r>
        <w:rPr>
          <w:rFonts w:ascii="Arial" w:hAnsi="Arial" w:cs="Arial"/>
          <w:bCs/>
        </w:rPr>
        <w:t xml:space="preserve">establece que </w:t>
      </w:r>
      <w:r w:rsidR="001468D8" w:rsidRPr="0089230D">
        <w:rPr>
          <w:rFonts w:ascii="Arial" w:hAnsi="Arial" w:cs="Arial"/>
          <w:bCs/>
        </w:rPr>
        <w:t>debe efectuarse bajo ciertas directrices, tales como:</w:t>
      </w:r>
      <w:r w:rsidR="001468D8">
        <w:rPr>
          <w:rFonts w:ascii="Arial" w:hAnsi="Arial" w:cs="Arial"/>
          <w:bCs/>
        </w:rPr>
        <w:t xml:space="preserve"> 1) </w:t>
      </w:r>
      <w:r w:rsidR="001468D8" w:rsidRPr="0089230D">
        <w:rPr>
          <w:rFonts w:ascii="Arial" w:hAnsi="Arial" w:cs="Arial"/>
          <w:bCs/>
        </w:rPr>
        <w:t>Aplicar los principios constitucionales</w:t>
      </w:r>
      <w:r w:rsidR="001468D8" w:rsidRPr="0089230D">
        <w:rPr>
          <w:rStyle w:val="Refdenotaalpie"/>
          <w:rFonts w:ascii="Arial" w:hAnsi="Arial" w:cs="Arial"/>
          <w:bCs/>
        </w:rPr>
        <w:footnoteReference w:id="4"/>
      </w:r>
      <w:r w:rsidR="001468D8">
        <w:rPr>
          <w:rFonts w:ascii="Arial" w:hAnsi="Arial" w:cs="Arial"/>
          <w:bCs/>
        </w:rPr>
        <w:t xml:space="preserve">, 2) </w:t>
      </w:r>
      <w:r w:rsidR="001468D8" w:rsidRPr="0089230D">
        <w:rPr>
          <w:rFonts w:ascii="Arial" w:hAnsi="Arial" w:cs="Arial"/>
          <w:bCs/>
        </w:rPr>
        <w:t>Justificar el uso de la</w:t>
      </w:r>
      <w:r w:rsidR="001468D8">
        <w:rPr>
          <w:rFonts w:ascii="Arial" w:hAnsi="Arial" w:cs="Arial"/>
          <w:bCs/>
        </w:rPr>
        <w:t>s</w:t>
      </w:r>
      <w:r w:rsidR="001468D8" w:rsidRPr="0089230D">
        <w:rPr>
          <w:rFonts w:ascii="Arial" w:hAnsi="Arial" w:cs="Arial"/>
          <w:bCs/>
        </w:rPr>
        <w:t xml:space="preserve"> norma</w:t>
      </w:r>
      <w:r w:rsidR="001468D8">
        <w:rPr>
          <w:rFonts w:ascii="Arial" w:hAnsi="Arial" w:cs="Arial"/>
          <w:bCs/>
        </w:rPr>
        <w:t>s</w:t>
      </w:r>
      <w:r w:rsidR="001468D8" w:rsidRPr="0089230D">
        <w:rPr>
          <w:rFonts w:ascii="Arial" w:hAnsi="Arial" w:cs="Arial"/>
          <w:bCs/>
        </w:rPr>
        <w:t xml:space="preserve"> más protectora</w:t>
      </w:r>
      <w:r w:rsidR="001468D8">
        <w:rPr>
          <w:rFonts w:ascii="Arial" w:hAnsi="Arial" w:cs="Arial"/>
          <w:bCs/>
        </w:rPr>
        <w:t>s</w:t>
      </w:r>
      <w:r w:rsidR="001468D8" w:rsidRPr="0089230D">
        <w:rPr>
          <w:rFonts w:ascii="Arial" w:hAnsi="Arial" w:cs="Arial"/>
          <w:bCs/>
        </w:rPr>
        <w:t xml:space="preserve"> de la persona que se encuentra en una situación de asimetría de poder o de desigualdad </w:t>
      </w:r>
      <w:r w:rsidR="001468D8" w:rsidRPr="0089230D">
        <w:rPr>
          <w:rFonts w:ascii="Arial" w:hAnsi="Arial" w:cs="Arial"/>
          <w:bCs/>
        </w:rPr>
        <w:lastRenderedPageBreak/>
        <w:t>estructural</w:t>
      </w:r>
      <w:r w:rsidR="001468D8">
        <w:rPr>
          <w:rFonts w:ascii="Arial" w:hAnsi="Arial" w:cs="Arial"/>
          <w:bCs/>
        </w:rPr>
        <w:t xml:space="preserve">, 3) </w:t>
      </w:r>
      <w:r w:rsidR="001468D8" w:rsidRPr="0089230D">
        <w:rPr>
          <w:rFonts w:ascii="Arial" w:hAnsi="Arial" w:cs="Arial"/>
          <w:bCs/>
        </w:rPr>
        <w:t>Utilizar las razones por las que la aplicación de la norma</w:t>
      </w:r>
      <w:r w:rsidR="001468D8">
        <w:rPr>
          <w:rFonts w:ascii="Arial" w:hAnsi="Arial" w:cs="Arial"/>
          <w:bCs/>
        </w:rPr>
        <w:t>,</w:t>
      </w:r>
      <w:r w:rsidR="001468D8" w:rsidRPr="0089230D">
        <w:rPr>
          <w:rFonts w:ascii="Arial" w:hAnsi="Arial" w:cs="Arial"/>
          <w:bCs/>
        </w:rPr>
        <w:t xml:space="preserve"> al caso</w:t>
      </w:r>
      <w:r w:rsidR="001468D8">
        <w:rPr>
          <w:rFonts w:ascii="Arial" w:hAnsi="Arial" w:cs="Arial"/>
          <w:bCs/>
        </w:rPr>
        <w:t>,</w:t>
      </w:r>
      <w:r w:rsidR="001468D8" w:rsidRPr="0089230D">
        <w:rPr>
          <w:rFonts w:ascii="Arial" w:hAnsi="Arial" w:cs="Arial"/>
          <w:bCs/>
        </w:rPr>
        <w:t xml:space="preserve"> deviene en un impacto diferenciado o discriminador</w:t>
      </w:r>
      <w:r w:rsidR="001468D8">
        <w:rPr>
          <w:rFonts w:ascii="Arial" w:hAnsi="Arial" w:cs="Arial"/>
          <w:bCs/>
        </w:rPr>
        <w:t xml:space="preserve">, y 4) </w:t>
      </w:r>
      <w:r w:rsidR="001468D8" w:rsidRPr="0089230D">
        <w:rPr>
          <w:rFonts w:ascii="Arial" w:hAnsi="Arial" w:cs="Arial"/>
          <w:bCs/>
        </w:rPr>
        <w:t>Cuando sea necesario hacer un ejercicio de ponderación</w:t>
      </w:r>
      <w:r w:rsidR="001468D8">
        <w:rPr>
          <w:rFonts w:ascii="Arial" w:hAnsi="Arial" w:cs="Arial"/>
          <w:bCs/>
        </w:rPr>
        <w:t>.</w:t>
      </w:r>
    </w:p>
    <w:p w14:paraId="6A579139" w14:textId="77777777" w:rsidR="00250910" w:rsidRDefault="00250910" w:rsidP="001468D8">
      <w:pPr>
        <w:spacing w:line="360" w:lineRule="auto"/>
        <w:jc w:val="both"/>
        <w:rPr>
          <w:rFonts w:ascii="Arial" w:hAnsi="Arial" w:cs="Arial"/>
          <w:bCs/>
        </w:rPr>
      </w:pPr>
    </w:p>
    <w:p w14:paraId="57FE6BED" w14:textId="1DF93364" w:rsidR="00250910" w:rsidRDefault="00250910" w:rsidP="00250910">
      <w:pPr>
        <w:tabs>
          <w:tab w:val="left" w:pos="7020"/>
        </w:tabs>
        <w:spacing w:line="360" w:lineRule="auto"/>
        <w:jc w:val="both"/>
        <w:rPr>
          <w:rFonts w:ascii="Arial" w:hAnsi="Arial" w:cs="Arial"/>
          <w:szCs w:val="26"/>
        </w:rPr>
      </w:pPr>
      <w:r>
        <w:rPr>
          <w:rFonts w:ascii="Arial" w:hAnsi="Arial" w:cs="Arial"/>
          <w:bCs/>
        </w:rPr>
        <w:t xml:space="preserve">Esas directrices </w:t>
      </w:r>
      <w:r w:rsidR="001468D8" w:rsidRPr="0089230D">
        <w:rPr>
          <w:rFonts w:ascii="Arial" w:hAnsi="Arial" w:cs="Arial"/>
          <w:bCs/>
        </w:rPr>
        <w:t>se fortalece</w:t>
      </w:r>
      <w:r>
        <w:rPr>
          <w:rFonts w:ascii="Arial" w:hAnsi="Arial" w:cs="Arial"/>
          <w:bCs/>
        </w:rPr>
        <w:t>n</w:t>
      </w:r>
      <w:r w:rsidR="001468D8" w:rsidRPr="0089230D">
        <w:rPr>
          <w:rFonts w:ascii="Arial" w:hAnsi="Arial" w:cs="Arial"/>
          <w:bCs/>
        </w:rPr>
        <w:t xml:space="preserve"> con la j</w:t>
      </w:r>
      <w:r w:rsidR="001468D8" w:rsidRPr="0089230D">
        <w:rPr>
          <w:rFonts w:ascii="Arial" w:hAnsi="Arial" w:cs="Arial"/>
          <w:szCs w:val="26"/>
        </w:rPr>
        <w:t>urisprudencia</w:t>
      </w:r>
      <w:r w:rsidR="00EC6544">
        <w:rPr>
          <w:rFonts w:ascii="Arial" w:hAnsi="Arial" w:cs="Arial"/>
          <w:szCs w:val="26"/>
        </w:rPr>
        <w:t xml:space="preserve"> de la SCJN (</w:t>
      </w:r>
      <w:r w:rsidR="00EC6544" w:rsidRPr="006549DA">
        <w:rPr>
          <w:rFonts w:ascii="Arial" w:hAnsi="Arial" w:cs="Arial"/>
          <w:bCs/>
        </w:rPr>
        <w:t>Jurisprudencia 1a./J. 22/2016</w:t>
      </w:r>
      <w:r w:rsidR="00EC6544">
        <w:rPr>
          <w:rFonts w:ascii="Arial" w:hAnsi="Arial" w:cs="Arial"/>
          <w:bCs/>
        </w:rPr>
        <w:t>)</w:t>
      </w:r>
      <w:r w:rsidR="00EC6544" w:rsidRPr="0089230D">
        <w:rPr>
          <w:rFonts w:ascii="Arial" w:hAnsi="Arial" w:cs="Arial"/>
          <w:szCs w:val="26"/>
        </w:rPr>
        <w:t xml:space="preserve"> </w:t>
      </w:r>
      <w:r w:rsidR="001468D8" w:rsidRPr="0089230D">
        <w:rPr>
          <w:rFonts w:ascii="Arial" w:hAnsi="Arial" w:cs="Arial"/>
          <w:szCs w:val="26"/>
        </w:rPr>
        <w:t xml:space="preserve">que refiere que todo órgano jurisdiccional debe impartir justicia </w:t>
      </w:r>
      <w:r w:rsidR="001468D8" w:rsidRPr="00B76449">
        <w:rPr>
          <w:rFonts w:ascii="Arial" w:hAnsi="Arial" w:cs="Arial"/>
          <w:bCs/>
          <w:szCs w:val="26"/>
        </w:rPr>
        <w:t>con base en una perspectiva de género,</w:t>
      </w:r>
      <w:r w:rsidR="001468D8" w:rsidRPr="0089230D">
        <w:rPr>
          <w:rFonts w:ascii="Arial" w:hAnsi="Arial" w:cs="Arial"/>
          <w:szCs w:val="26"/>
        </w:rPr>
        <w:t xml:space="preserve"> para lo cual, tiene que implementarse un método</w:t>
      </w:r>
      <w:r w:rsidR="001468D8" w:rsidRPr="0089230D">
        <w:rPr>
          <w:rStyle w:val="Refdenotaalpie"/>
          <w:rFonts w:ascii="Arial" w:hAnsi="Arial" w:cs="Arial"/>
          <w:szCs w:val="26"/>
        </w:rPr>
        <w:footnoteReference w:id="5"/>
      </w:r>
      <w:r w:rsidR="001468D8" w:rsidRPr="0089230D">
        <w:rPr>
          <w:rFonts w:ascii="Arial" w:hAnsi="Arial" w:cs="Arial"/>
          <w:szCs w:val="26"/>
        </w:rPr>
        <w:t xml:space="preserve"> en toda controversia judicial, en consideración a quien </w:t>
      </w:r>
      <w:r>
        <w:rPr>
          <w:rFonts w:ascii="Arial" w:hAnsi="Arial" w:cs="Arial"/>
          <w:szCs w:val="26"/>
        </w:rPr>
        <w:t xml:space="preserve">se </w:t>
      </w:r>
      <w:r w:rsidR="001468D8" w:rsidRPr="0089230D">
        <w:rPr>
          <w:rFonts w:ascii="Arial" w:hAnsi="Arial" w:cs="Arial"/>
          <w:szCs w:val="26"/>
        </w:rPr>
        <w:t xml:space="preserve">juzga. </w:t>
      </w:r>
    </w:p>
    <w:p w14:paraId="20E12458" w14:textId="77777777" w:rsidR="00250910" w:rsidRPr="00250910" w:rsidRDefault="00250910" w:rsidP="00250910">
      <w:pPr>
        <w:tabs>
          <w:tab w:val="left" w:pos="7020"/>
        </w:tabs>
        <w:spacing w:line="360" w:lineRule="auto"/>
        <w:jc w:val="both"/>
        <w:rPr>
          <w:rFonts w:ascii="Arial" w:hAnsi="Arial" w:cs="Arial"/>
          <w:szCs w:val="26"/>
        </w:rPr>
      </w:pPr>
    </w:p>
    <w:p w14:paraId="1438DBAA" w14:textId="49C3B10C" w:rsidR="004F7103" w:rsidRPr="00D7033D" w:rsidRDefault="00CD10CB" w:rsidP="004F7103">
      <w:pPr>
        <w:spacing w:line="360" w:lineRule="auto"/>
        <w:jc w:val="both"/>
        <w:rPr>
          <w:rFonts w:ascii="Arial" w:hAnsi="Arial" w:cs="Arial"/>
          <w:shd w:val="clear" w:color="auto" w:fill="FFFFFF"/>
        </w:rPr>
      </w:pPr>
      <w:r w:rsidRPr="00D7033D">
        <w:rPr>
          <w:rFonts w:ascii="Arial" w:hAnsi="Arial" w:cs="Arial"/>
          <w:shd w:val="clear" w:color="auto" w:fill="FFFFFF"/>
        </w:rPr>
        <w:t>Así, j</w:t>
      </w:r>
      <w:r w:rsidR="004F7103" w:rsidRPr="00D7033D">
        <w:rPr>
          <w:rFonts w:ascii="Arial" w:hAnsi="Arial" w:cs="Arial"/>
          <w:shd w:val="clear" w:color="auto" w:fill="FFFFFF"/>
        </w:rPr>
        <w:t xml:space="preserve">uzgar con perspectiva de género implica evitar </w:t>
      </w:r>
      <w:r w:rsidR="00250910" w:rsidRPr="00D7033D">
        <w:rPr>
          <w:rFonts w:ascii="Arial" w:hAnsi="Arial" w:cs="Arial"/>
          <w:shd w:val="clear" w:color="auto" w:fill="FFFFFF"/>
        </w:rPr>
        <w:t>el regreso de las v</w:t>
      </w:r>
      <w:r w:rsidRPr="00D7033D">
        <w:rPr>
          <w:rFonts w:ascii="Arial" w:hAnsi="Arial" w:cs="Arial"/>
          <w:shd w:val="clear" w:color="auto" w:fill="FFFFFF"/>
        </w:rPr>
        <w:t>í</w:t>
      </w:r>
      <w:r w:rsidR="00250910" w:rsidRPr="00D7033D">
        <w:rPr>
          <w:rFonts w:ascii="Arial" w:hAnsi="Arial" w:cs="Arial"/>
          <w:shd w:val="clear" w:color="auto" w:fill="FFFFFF"/>
        </w:rPr>
        <w:t xml:space="preserve">ctimas a los mismos </w:t>
      </w:r>
      <w:r w:rsidR="004F7103" w:rsidRPr="00D7033D">
        <w:rPr>
          <w:rFonts w:ascii="Arial" w:hAnsi="Arial" w:cs="Arial"/>
          <w:shd w:val="clear" w:color="auto" w:fill="FFFFFF"/>
        </w:rPr>
        <w:t xml:space="preserve">roles establecidos </w:t>
      </w:r>
      <w:r w:rsidRPr="00D7033D">
        <w:rPr>
          <w:rFonts w:ascii="Arial" w:hAnsi="Arial" w:cs="Arial"/>
          <w:shd w:val="clear" w:color="auto" w:fill="FFFFFF"/>
        </w:rPr>
        <w:t xml:space="preserve">que impulsaron la violencia política en su contra, que reprodujeron discriminación y evadieron el ejercicio igualitario de derechos. </w:t>
      </w:r>
    </w:p>
    <w:p w14:paraId="657B54CD" w14:textId="77777777" w:rsidR="004F7103" w:rsidRPr="00D60723" w:rsidRDefault="004F7103" w:rsidP="004F7103">
      <w:pPr>
        <w:spacing w:line="360" w:lineRule="auto"/>
        <w:jc w:val="both"/>
        <w:rPr>
          <w:rFonts w:ascii="Arial" w:hAnsi="Arial" w:cs="Arial"/>
          <w:color w:val="333333"/>
          <w:highlight w:val="yellow"/>
          <w:shd w:val="clear" w:color="auto" w:fill="FFFFFF"/>
        </w:rPr>
      </w:pPr>
    </w:p>
    <w:p w14:paraId="41C208D4" w14:textId="509550A9" w:rsidR="006F40B9" w:rsidRDefault="00B76449" w:rsidP="003F6617">
      <w:pPr>
        <w:widowControl w:val="0"/>
        <w:spacing w:line="360" w:lineRule="auto"/>
        <w:jc w:val="both"/>
        <w:rPr>
          <w:rFonts w:ascii="Arial" w:hAnsi="Arial" w:cs="Arial"/>
          <w:shd w:val="clear" w:color="auto" w:fill="FFFFFF"/>
        </w:rPr>
      </w:pPr>
      <w:r w:rsidRPr="00D7033D">
        <w:rPr>
          <w:rFonts w:ascii="Arial" w:hAnsi="Arial" w:cs="Arial"/>
          <w:shd w:val="clear" w:color="auto" w:fill="FFFFFF"/>
        </w:rPr>
        <w:t>De ahí que</w:t>
      </w:r>
      <w:r w:rsidR="004F7103" w:rsidRPr="00D7033D">
        <w:rPr>
          <w:rFonts w:ascii="Arial" w:hAnsi="Arial" w:cs="Arial"/>
          <w:shd w:val="clear" w:color="auto" w:fill="FFFFFF"/>
        </w:rPr>
        <w:t xml:space="preserve"> </w:t>
      </w:r>
      <w:r w:rsidR="00CD10CB" w:rsidRPr="00D7033D">
        <w:rPr>
          <w:rFonts w:ascii="Arial" w:hAnsi="Arial" w:cs="Arial"/>
        </w:rPr>
        <w:t xml:space="preserve">la justicia electoral y la perspectiva de género </w:t>
      </w:r>
      <w:r w:rsidRPr="00D7033D">
        <w:rPr>
          <w:rFonts w:ascii="Arial" w:hAnsi="Arial" w:cs="Arial"/>
        </w:rPr>
        <w:t>estén</w:t>
      </w:r>
      <w:r w:rsidR="00CD10CB" w:rsidRPr="00D7033D">
        <w:rPr>
          <w:rFonts w:ascii="Arial" w:hAnsi="Arial" w:cs="Arial"/>
        </w:rPr>
        <w:t xml:space="preserve"> estrechamente vinculadas con </w:t>
      </w:r>
      <w:r w:rsidR="006F40B9" w:rsidRPr="00D7033D">
        <w:rPr>
          <w:rFonts w:ascii="Arial" w:hAnsi="Arial" w:cs="Arial"/>
        </w:rPr>
        <w:t>una</w:t>
      </w:r>
      <w:r w:rsidR="00D60723" w:rsidRPr="00D7033D">
        <w:rPr>
          <w:rFonts w:ascii="Arial" w:hAnsi="Arial" w:cs="Arial"/>
        </w:rPr>
        <w:t xml:space="preserve"> </w:t>
      </w:r>
      <w:r w:rsidR="00CD10CB" w:rsidRPr="00D7033D">
        <w:rPr>
          <w:rFonts w:ascii="Arial" w:hAnsi="Arial" w:cs="Arial"/>
        </w:rPr>
        <w:t>transversalidad del principio de igualdad</w:t>
      </w:r>
      <w:r w:rsidR="006F40B9" w:rsidRPr="00D7033D">
        <w:rPr>
          <w:rFonts w:ascii="Arial" w:hAnsi="Arial" w:cs="Arial"/>
        </w:rPr>
        <w:t>. A</w:t>
      </w:r>
      <w:r w:rsidR="00CD10CB" w:rsidRPr="00D7033D">
        <w:rPr>
          <w:rFonts w:ascii="Arial" w:hAnsi="Arial" w:cs="Arial"/>
        </w:rPr>
        <w:t xml:space="preserve">ctuar de forma contraria </w:t>
      </w:r>
      <w:r w:rsidR="006F40B9" w:rsidRPr="00D7033D">
        <w:rPr>
          <w:rFonts w:ascii="Arial" w:hAnsi="Arial" w:cs="Arial"/>
        </w:rPr>
        <w:t xml:space="preserve">a ese vínculo </w:t>
      </w:r>
      <w:r w:rsidR="00D7033D" w:rsidRPr="00D7033D">
        <w:rPr>
          <w:rFonts w:ascii="Arial" w:hAnsi="Arial" w:cs="Arial"/>
        </w:rPr>
        <w:t>la</w:t>
      </w:r>
      <w:r w:rsidR="00CD10CB" w:rsidRPr="00D7033D">
        <w:rPr>
          <w:rFonts w:ascii="Arial" w:hAnsi="Arial" w:cs="Arial"/>
        </w:rPr>
        <w:t xml:space="preserve"> justicia </w:t>
      </w:r>
      <w:r w:rsidR="00D7033D" w:rsidRPr="00D7033D">
        <w:rPr>
          <w:rFonts w:ascii="Arial" w:hAnsi="Arial" w:cs="Arial"/>
        </w:rPr>
        <w:t xml:space="preserve">se torna </w:t>
      </w:r>
      <w:r w:rsidR="00CD10CB" w:rsidRPr="00D7033D">
        <w:rPr>
          <w:rFonts w:ascii="Arial" w:hAnsi="Arial" w:cs="Arial"/>
        </w:rPr>
        <w:t>indiferente</w:t>
      </w:r>
      <w:r w:rsidR="00D60723" w:rsidRPr="00D7033D">
        <w:rPr>
          <w:rFonts w:ascii="Arial" w:hAnsi="Arial" w:cs="Arial"/>
        </w:rPr>
        <w:t xml:space="preserve"> hacia </w:t>
      </w:r>
      <w:r w:rsidR="006F40B9" w:rsidRPr="00D7033D">
        <w:rPr>
          <w:rFonts w:ascii="Arial" w:hAnsi="Arial" w:cs="Arial"/>
        </w:rPr>
        <w:t>la</w:t>
      </w:r>
      <w:r w:rsidR="00D60723" w:rsidRPr="00D7033D">
        <w:rPr>
          <w:rFonts w:ascii="Arial" w:hAnsi="Arial" w:cs="Arial"/>
        </w:rPr>
        <w:t xml:space="preserve"> </w:t>
      </w:r>
      <w:r w:rsidR="004F7103" w:rsidRPr="00D7033D">
        <w:rPr>
          <w:rFonts w:ascii="Arial" w:hAnsi="Arial" w:cs="Arial"/>
          <w:shd w:val="clear" w:color="auto" w:fill="FFFFFF"/>
        </w:rPr>
        <w:t>división de roles de género enraizada estructuralmente</w:t>
      </w:r>
      <w:r w:rsidR="006F40B9" w:rsidRPr="00D7033D">
        <w:rPr>
          <w:rFonts w:ascii="Arial" w:hAnsi="Arial" w:cs="Arial"/>
          <w:shd w:val="clear" w:color="auto" w:fill="FFFFFF"/>
        </w:rPr>
        <w:t>,</w:t>
      </w:r>
      <w:r w:rsidR="006F40B9">
        <w:rPr>
          <w:rFonts w:ascii="Arial" w:hAnsi="Arial" w:cs="Arial"/>
          <w:shd w:val="clear" w:color="auto" w:fill="FFFFFF"/>
        </w:rPr>
        <w:t xml:space="preserve"> puesto que lo que realmente debe implicar juzgar con perspectiva de género </w:t>
      </w:r>
      <w:r w:rsidR="006F40B9">
        <w:rPr>
          <w:rFonts w:ascii="Arial" w:hAnsi="Arial" w:cs="Arial"/>
        </w:rPr>
        <w:t>es tender a</w:t>
      </w:r>
      <w:r w:rsidR="006F40B9" w:rsidRPr="00FB507A">
        <w:rPr>
          <w:rFonts w:ascii="Arial" w:hAnsi="Arial" w:cs="Arial"/>
        </w:rPr>
        <w:t xml:space="preserve"> modificar patrones socioculturales que se reflejen o trasciendan en la forma de sus decisiones</w:t>
      </w:r>
      <w:r w:rsidR="006F40B9">
        <w:rPr>
          <w:rFonts w:ascii="Arial" w:hAnsi="Arial" w:cs="Arial"/>
        </w:rPr>
        <w:t>.</w:t>
      </w:r>
    </w:p>
    <w:p w14:paraId="33CD3443" w14:textId="77777777" w:rsidR="003F6617" w:rsidRPr="00052FB1" w:rsidRDefault="003F6617" w:rsidP="00D60723">
      <w:pPr>
        <w:widowControl w:val="0"/>
        <w:spacing w:line="360" w:lineRule="auto"/>
        <w:jc w:val="both"/>
        <w:rPr>
          <w:rFonts w:ascii="Arial" w:hAnsi="Arial" w:cs="Arial"/>
        </w:rPr>
      </w:pPr>
    </w:p>
    <w:p w14:paraId="191F0EDA" w14:textId="7887AA57" w:rsidR="0039493A" w:rsidRPr="00B76449" w:rsidRDefault="004F7103" w:rsidP="00B76449">
      <w:pPr>
        <w:widowControl w:val="0"/>
        <w:spacing w:line="360" w:lineRule="auto"/>
        <w:jc w:val="both"/>
        <w:rPr>
          <w:rFonts w:ascii="Arial" w:hAnsi="Arial" w:cs="Arial"/>
          <w:i/>
          <w:iCs/>
        </w:rPr>
      </w:pPr>
      <w:r>
        <w:rPr>
          <w:rFonts w:ascii="Arial" w:hAnsi="Arial" w:cs="Arial"/>
        </w:rPr>
        <w:t>E</w:t>
      </w:r>
      <w:r w:rsidR="008A72AC">
        <w:rPr>
          <w:rFonts w:ascii="Arial" w:hAnsi="Arial" w:cs="Arial"/>
        </w:rPr>
        <w:t xml:space="preserve">sa perspectiva de género se advierte en un conjunto de precedentes </w:t>
      </w:r>
      <w:r w:rsidR="00D60723">
        <w:rPr>
          <w:rFonts w:ascii="Arial" w:hAnsi="Arial" w:cs="Arial"/>
        </w:rPr>
        <w:t>que evidencian esa visión de la justicia electoral</w:t>
      </w:r>
      <w:r w:rsidR="00B76449">
        <w:rPr>
          <w:rFonts w:ascii="Arial" w:hAnsi="Arial" w:cs="Arial"/>
        </w:rPr>
        <w:t xml:space="preserve">. </w:t>
      </w:r>
      <w:r w:rsidR="003F6617" w:rsidRPr="003F6617">
        <w:rPr>
          <w:rFonts w:ascii="Arial" w:hAnsi="Arial" w:cs="Arial"/>
        </w:rPr>
        <w:t>Al respecto</w:t>
      </w:r>
      <w:r w:rsidR="0039493A" w:rsidRPr="003F6617">
        <w:rPr>
          <w:rFonts w:ascii="Arial" w:hAnsi="Arial" w:cs="Arial"/>
        </w:rPr>
        <w:t>,</w:t>
      </w:r>
      <w:r w:rsidR="0039493A">
        <w:rPr>
          <w:rFonts w:ascii="Arial" w:hAnsi="Arial" w:cs="Arial"/>
        </w:rPr>
        <w:t xml:space="preserve"> </w:t>
      </w:r>
      <w:r w:rsidR="006F40B9">
        <w:rPr>
          <w:rFonts w:ascii="Arial" w:hAnsi="Arial" w:cs="Arial"/>
        </w:rPr>
        <w:t xml:space="preserve">algunos de </w:t>
      </w:r>
      <w:r w:rsidR="003F6617">
        <w:rPr>
          <w:rFonts w:ascii="Arial" w:hAnsi="Arial" w:cs="Arial"/>
        </w:rPr>
        <w:t>los</w:t>
      </w:r>
      <w:r w:rsidR="0039493A">
        <w:rPr>
          <w:rFonts w:ascii="Arial" w:hAnsi="Arial" w:cs="Arial"/>
        </w:rPr>
        <w:t xml:space="preserve"> temas recogidos de esa línea jurisprudencial</w:t>
      </w:r>
      <w:r w:rsidR="003F6617">
        <w:rPr>
          <w:rFonts w:ascii="Arial" w:hAnsi="Arial" w:cs="Arial"/>
        </w:rPr>
        <w:t xml:space="preserve"> se rescatan</w:t>
      </w:r>
      <w:r w:rsidR="006F40B9">
        <w:rPr>
          <w:rFonts w:ascii="Arial" w:hAnsi="Arial" w:cs="Arial"/>
        </w:rPr>
        <w:t xml:space="preserve"> enseguida</w:t>
      </w:r>
      <w:r w:rsidR="003F6617">
        <w:rPr>
          <w:rFonts w:ascii="Arial" w:hAnsi="Arial" w:cs="Arial"/>
        </w:rPr>
        <w:t xml:space="preserve">: </w:t>
      </w:r>
    </w:p>
    <w:p w14:paraId="6449D6BE" w14:textId="77777777" w:rsidR="0039493A" w:rsidRDefault="0039493A" w:rsidP="0039493A">
      <w:pPr>
        <w:spacing w:line="360" w:lineRule="auto"/>
        <w:jc w:val="both"/>
        <w:rPr>
          <w:rFonts w:ascii="Arial" w:hAnsi="Arial" w:cs="Arial"/>
        </w:rPr>
      </w:pPr>
    </w:p>
    <w:p w14:paraId="28E60B44" w14:textId="57365E8C" w:rsidR="006F40B9" w:rsidRDefault="006F40B9" w:rsidP="0039493A">
      <w:pPr>
        <w:spacing w:line="360" w:lineRule="auto"/>
        <w:jc w:val="both"/>
        <w:rPr>
          <w:rFonts w:ascii="Arial" w:hAnsi="Arial" w:cs="Arial"/>
        </w:rPr>
      </w:pPr>
      <w:r>
        <w:rPr>
          <w:rFonts w:ascii="Arial" w:hAnsi="Arial" w:cs="Arial"/>
        </w:rPr>
        <w:lastRenderedPageBreak/>
        <w:t>E</w:t>
      </w:r>
      <w:r w:rsidR="0039493A">
        <w:rPr>
          <w:rFonts w:ascii="Arial" w:hAnsi="Arial" w:cs="Arial"/>
        </w:rPr>
        <w:t xml:space="preserve">n los </w:t>
      </w:r>
      <w:r w:rsidR="0039493A" w:rsidRPr="00280A52">
        <w:rPr>
          <w:rFonts w:ascii="Arial" w:hAnsi="Arial" w:cs="Arial"/>
        </w:rPr>
        <w:t>procedimientos especiales sancionadores cuando se trate de propaganda electoral</w:t>
      </w:r>
      <w:r w:rsidR="0039493A" w:rsidRPr="002D729A">
        <w:rPr>
          <w:rFonts w:ascii="Arial" w:hAnsi="Arial" w:cs="Arial"/>
          <w:b/>
          <w:bCs/>
        </w:rPr>
        <w:t xml:space="preserve"> </w:t>
      </w:r>
      <w:r w:rsidR="0039493A" w:rsidRPr="002D729A">
        <w:rPr>
          <w:rFonts w:ascii="Arial" w:hAnsi="Arial" w:cs="Arial"/>
        </w:rPr>
        <w:t>(SUP-REC-594/2019</w:t>
      </w:r>
      <w:r w:rsidR="00C50EEA">
        <w:rPr>
          <w:rFonts w:ascii="Arial" w:hAnsi="Arial" w:cs="Arial"/>
        </w:rPr>
        <w:t>)</w:t>
      </w:r>
      <w:r w:rsidR="00B97FE3">
        <w:rPr>
          <w:rFonts w:ascii="Arial" w:hAnsi="Arial" w:cs="Arial"/>
        </w:rPr>
        <w:t>, pues</w:t>
      </w:r>
      <w:r>
        <w:rPr>
          <w:rFonts w:ascii="Arial" w:hAnsi="Arial" w:cs="Arial"/>
        </w:rPr>
        <w:t xml:space="preserve"> son </w:t>
      </w:r>
      <w:r w:rsidR="0039493A">
        <w:rPr>
          <w:rFonts w:ascii="Arial" w:hAnsi="Arial" w:cs="Arial"/>
        </w:rPr>
        <w:t xml:space="preserve">medios de impugnación que </w:t>
      </w:r>
      <w:r w:rsidR="0039493A" w:rsidRPr="008142C7">
        <w:rPr>
          <w:rFonts w:ascii="Arial" w:hAnsi="Arial" w:cs="Arial"/>
        </w:rPr>
        <w:t xml:space="preserve">facilitan su análisis </w:t>
      </w:r>
      <w:r>
        <w:rPr>
          <w:rFonts w:ascii="Arial" w:hAnsi="Arial" w:cs="Arial"/>
        </w:rPr>
        <w:t xml:space="preserve">de forma </w:t>
      </w:r>
      <w:r w:rsidR="0039493A" w:rsidRPr="008142C7">
        <w:rPr>
          <w:rFonts w:ascii="Arial" w:hAnsi="Arial" w:cs="Arial"/>
        </w:rPr>
        <w:t>expedit</w:t>
      </w:r>
      <w:r>
        <w:rPr>
          <w:rFonts w:ascii="Arial" w:hAnsi="Arial" w:cs="Arial"/>
        </w:rPr>
        <w:t>a.</w:t>
      </w:r>
    </w:p>
    <w:p w14:paraId="02CBACED" w14:textId="275289E0" w:rsidR="006F40B9" w:rsidRDefault="006F40B9" w:rsidP="0039493A">
      <w:pPr>
        <w:spacing w:line="360" w:lineRule="auto"/>
        <w:jc w:val="both"/>
        <w:rPr>
          <w:rFonts w:ascii="Arial" w:hAnsi="Arial" w:cs="Arial"/>
        </w:rPr>
      </w:pPr>
    </w:p>
    <w:p w14:paraId="6FBC8743" w14:textId="65974BE1" w:rsidR="006F40B9" w:rsidRDefault="006F40B9" w:rsidP="006F40B9">
      <w:pPr>
        <w:spacing w:line="360" w:lineRule="auto"/>
        <w:jc w:val="both"/>
        <w:rPr>
          <w:rFonts w:ascii="Arial" w:hAnsi="Arial" w:cs="Arial"/>
        </w:rPr>
      </w:pPr>
      <w:r>
        <w:rPr>
          <w:rFonts w:ascii="Arial" w:hAnsi="Arial" w:cs="Arial"/>
        </w:rPr>
        <w:t xml:space="preserve">En esos mismos procedimientos relacionados </w:t>
      </w:r>
      <w:r w:rsidR="00B97FE3">
        <w:rPr>
          <w:rFonts w:ascii="Arial" w:hAnsi="Arial" w:cs="Arial"/>
        </w:rPr>
        <w:t>respecto de</w:t>
      </w:r>
      <w:r>
        <w:rPr>
          <w:rFonts w:ascii="Arial" w:hAnsi="Arial" w:cs="Arial"/>
        </w:rPr>
        <w:t xml:space="preserve"> la propaganda electoral </w:t>
      </w:r>
      <w:r w:rsidR="00B97FE3">
        <w:rPr>
          <w:rFonts w:ascii="Arial" w:hAnsi="Arial" w:cs="Arial"/>
        </w:rPr>
        <w:t>se</w:t>
      </w:r>
      <w:r w:rsidRPr="008142C7">
        <w:rPr>
          <w:rFonts w:ascii="Arial" w:hAnsi="Arial" w:cs="Arial"/>
        </w:rPr>
        <w:t xml:space="preserve"> </w:t>
      </w:r>
      <w:r w:rsidR="00B97FE3">
        <w:rPr>
          <w:rFonts w:ascii="Arial" w:hAnsi="Arial" w:cs="Arial"/>
        </w:rPr>
        <w:t>determinó</w:t>
      </w:r>
      <w:r w:rsidRPr="008142C7">
        <w:rPr>
          <w:rFonts w:ascii="Arial" w:hAnsi="Arial" w:cs="Arial"/>
        </w:rPr>
        <w:t xml:space="preserve"> que los </w:t>
      </w:r>
      <w:r w:rsidRPr="006F40B9">
        <w:rPr>
          <w:rFonts w:ascii="Arial" w:hAnsi="Arial" w:cs="Arial"/>
        </w:rPr>
        <w:t>promocionales de campañas</w:t>
      </w:r>
      <w:r w:rsidRPr="008142C7">
        <w:rPr>
          <w:rFonts w:ascii="Arial" w:hAnsi="Arial" w:cs="Arial"/>
        </w:rPr>
        <w:t xml:space="preserve"> sobre críticas hacia candidatas relacionadas con su vínculo matrimonial constituyen </w:t>
      </w:r>
      <w:r w:rsidRPr="006F40B9">
        <w:rPr>
          <w:rFonts w:ascii="Arial" w:hAnsi="Arial" w:cs="Arial"/>
        </w:rPr>
        <w:t>violencia simbólica,</w:t>
      </w:r>
      <w:r w:rsidRPr="008142C7">
        <w:rPr>
          <w:rFonts w:ascii="Arial" w:hAnsi="Arial" w:cs="Arial"/>
        </w:rPr>
        <w:t xml:space="preserve"> que menoscaban su individualidad y personalidad, al demeritar a la persona a partir de su estado civil, fortaleciendo estereotipos discriminatorios</w:t>
      </w:r>
      <w:r>
        <w:rPr>
          <w:rFonts w:ascii="Arial" w:hAnsi="Arial" w:cs="Arial"/>
        </w:rPr>
        <w:t xml:space="preserve"> </w:t>
      </w:r>
      <w:r w:rsidRPr="00B42B97">
        <w:rPr>
          <w:rFonts w:ascii="Arial" w:hAnsi="Arial" w:cs="Arial"/>
        </w:rPr>
        <w:t>(</w:t>
      </w:r>
      <w:r w:rsidRPr="00B42B97">
        <w:rPr>
          <w:rFonts w:ascii="Arial" w:hAnsi="Arial" w:cs="Arial"/>
          <w:lang w:val="en-US"/>
        </w:rPr>
        <w:t>SUP-REP-252/2018, SUP-REP-602/2018 y SUP-REP-612/2018, y SUP-REP-623/2018 y SUP-REP-627/2018)</w:t>
      </w:r>
      <w:r w:rsidRPr="00B42B97">
        <w:rPr>
          <w:rFonts w:ascii="Arial" w:hAnsi="Arial" w:cs="Arial"/>
        </w:rPr>
        <w:t>.</w:t>
      </w:r>
      <w:r w:rsidRPr="008142C7">
        <w:rPr>
          <w:rFonts w:ascii="Arial" w:hAnsi="Arial" w:cs="Arial"/>
        </w:rPr>
        <w:t xml:space="preserve"> </w:t>
      </w:r>
    </w:p>
    <w:p w14:paraId="41CC1436" w14:textId="77777777" w:rsidR="006F40B9" w:rsidRDefault="006F40B9" w:rsidP="006F40B9">
      <w:pPr>
        <w:spacing w:line="360" w:lineRule="auto"/>
        <w:jc w:val="both"/>
        <w:rPr>
          <w:rFonts w:ascii="Arial" w:hAnsi="Arial" w:cs="Arial"/>
        </w:rPr>
      </w:pPr>
    </w:p>
    <w:p w14:paraId="7F0DE465" w14:textId="73F93238" w:rsidR="006F40B9" w:rsidRDefault="006F40B9" w:rsidP="006F40B9">
      <w:pPr>
        <w:spacing w:line="360" w:lineRule="auto"/>
        <w:jc w:val="both"/>
        <w:rPr>
          <w:rFonts w:ascii="Arial" w:hAnsi="Arial" w:cs="Arial"/>
        </w:rPr>
      </w:pPr>
      <w:r>
        <w:rPr>
          <w:rFonts w:ascii="Arial" w:hAnsi="Arial" w:cs="Arial"/>
        </w:rPr>
        <w:t xml:space="preserve">En otro criterio la Sala Superior ha señalado que </w:t>
      </w:r>
      <w:r w:rsidRPr="008142C7">
        <w:rPr>
          <w:rFonts w:ascii="Arial" w:hAnsi="Arial" w:cs="Arial"/>
        </w:rPr>
        <w:t>toda autoridad tiene la obligación de analizar de manera conjunta y con perspectiva contextual de género todas las pruebas que se presenten en un procedimiento que verse sobre VPG</w:t>
      </w:r>
      <w:r>
        <w:rPr>
          <w:rFonts w:ascii="Arial" w:hAnsi="Arial" w:cs="Arial"/>
        </w:rPr>
        <w:t xml:space="preserve"> (SUP-JDC-156/2019).</w:t>
      </w:r>
    </w:p>
    <w:p w14:paraId="07DC3E66" w14:textId="3A0872FA" w:rsidR="006F40B9" w:rsidRDefault="006F40B9" w:rsidP="0039493A">
      <w:pPr>
        <w:spacing w:line="360" w:lineRule="auto"/>
        <w:jc w:val="both"/>
        <w:rPr>
          <w:rFonts w:ascii="Arial" w:hAnsi="Arial" w:cs="Arial"/>
        </w:rPr>
      </w:pPr>
    </w:p>
    <w:p w14:paraId="66A81BB8" w14:textId="77777777" w:rsidR="006F40B9" w:rsidRDefault="006F40B9" w:rsidP="006F40B9">
      <w:pPr>
        <w:spacing w:line="360" w:lineRule="auto"/>
        <w:jc w:val="both"/>
        <w:rPr>
          <w:rFonts w:ascii="Arial" w:hAnsi="Arial" w:cs="Arial"/>
        </w:rPr>
      </w:pPr>
      <w:r>
        <w:rPr>
          <w:rFonts w:ascii="Arial" w:hAnsi="Arial" w:cs="Arial"/>
        </w:rPr>
        <w:t xml:space="preserve">En el caso de las medidas cautelares y de protección el TEPJF ha establecido otros criterios que advierten lo siguiente: a) </w:t>
      </w:r>
      <w:r w:rsidRPr="008142C7">
        <w:rPr>
          <w:rFonts w:ascii="Arial" w:hAnsi="Arial" w:cs="Arial"/>
        </w:rPr>
        <w:t xml:space="preserve">pueden emitirse por cualquier autoridad y subsistir </w:t>
      </w:r>
      <w:r w:rsidRPr="00834078">
        <w:rPr>
          <w:rFonts w:ascii="Arial" w:hAnsi="Arial" w:cs="Arial"/>
        </w:rPr>
        <w:t>aun cuando ese órgano sea incompetente</w:t>
      </w:r>
      <w:r w:rsidRPr="008142C7">
        <w:rPr>
          <w:rFonts w:ascii="Arial" w:hAnsi="Arial" w:cs="Arial"/>
        </w:rPr>
        <w:t xml:space="preserve"> para conocer el fondo del asunto; </w:t>
      </w:r>
      <w:r>
        <w:rPr>
          <w:rFonts w:ascii="Arial" w:hAnsi="Arial" w:cs="Arial"/>
        </w:rPr>
        <w:t xml:space="preserve">b) </w:t>
      </w:r>
      <w:r w:rsidRPr="008142C7">
        <w:rPr>
          <w:rFonts w:ascii="Arial" w:hAnsi="Arial" w:cs="Arial"/>
        </w:rPr>
        <w:t>pueden emitirse en cualquier etapa procesal y en cualquier medio de defensa o vía impugnativa</w:t>
      </w:r>
      <w:r>
        <w:rPr>
          <w:rFonts w:ascii="Arial" w:hAnsi="Arial" w:cs="Arial"/>
        </w:rPr>
        <w:t xml:space="preserve"> (SUP-JE-115/2019)</w:t>
      </w:r>
      <w:r w:rsidRPr="008142C7">
        <w:rPr>
          <w:rFonts w:ascii="Arial" w:hAnsi="Arial" w:cs="Arial"/>
        </w:rPr>
        <w:t xml:space="preserve"> y mantenerse las medidas de protección para salvaguardar a las </w:t>
      </w:r>
      <w:r w:rsidRPr="002D729A">
        <w:rPr>
          <w:rFonts w:ascii="Arial" w:hAnsi="Arial" w:cs="Arial"/>
        </w:rPr>
        <w:t>víctimas (Tesis X/2017);</w:t>
      </w:r>
      <w:r w:rsidRPr="008142C7">
        <w:rPr>
          <w:rFonts w:ascii="Arial" w:hAnsi="Arial" w:cs="Arial"/>
        </w:rPr>
        <w:t xml:space="preserve"> </w:t>
      </w:r>
      <w:r>
        <w:rPr>
          <w:rFonts w:ascii="Arial" w:hAnsi="Arial" w:cs="Arial"/>
        </w:rPr>
        <w:t xml:space="preserve">c) </w:t>
      </w:r>
      <w:r w:rsidRPr="008142C7">
        <w:rPr>
          <w:rFonts w:ascii="Arial" w:hAnsi="Arial" w:cs="Arial"/>
        </w:rPr>
        <w:t>debe realizar</w:t>
      </w:r>
      <w:r>
        <w:rPr>
          <w:rFonts w:ascii="Arial" w:hAnsi="Arial" w:cs="Arial"/>
        </w:rPr>
        <w:t>se</w:t>
      </w:r>
      <w:r w:rsidRPr="008142C7">
        <w:rPr>
          <w:rFonts w:ascii="Arial" w:hAnsi="Arial" w:cs="Arial"/>
        </w:rPr>
        <w:t xml:space="preserve"> un estudio integral </w:t>
      </w:r>
      <w:r w:rsidRPr="00406FA3">
        <w:rPr>
          <w:rFonts w:ascii="Arial" w:hAnsi="Arial" w:cs="Arial"/>
        </w:rPr>
        <w:t>de los hechos y argumentos de cada caso (Jurisprudencia 48/2016 y SUP-JDC-156/2019);</w:t>
      </w:r>
      <w:r>
        <w:rPr>
          <w:rFonts w:ascii="Arial" w:hAnsi="Arial" w:cs="Arial"/>
        </w:rPr>
        <w:t xml:space="preserve"> </w:t>
      </w:r>
      <w:r w:rsidRPr="008142C7">
        <w:rPr>
          <w:rFonts w:ascii="Arial" w:hAnsi="Arial" w:cs="Arial"/>
        </w:rPr>
        <w:t xml:space="preserve">y, </w:t>
      </w:r>
      <w:r>
        <w:rPr>
          <w:rFonts w:ascii="Arial" w:hAnsi="Arial" w:cs="Arial"/>
        </w:rPr>
        <w:t xml:space="preserve">d) </w:t>
      </w:r>
      <w:r w:rsidRPr="008142C7">
        <w:rPr>
          <w:rFonts w:ascii="Arial" w:hAnsi="Arial" w:cs="Arial"/>
        </w:rPr>
        <w:t>cuando se tenga conocimiento de estas conductas, se debe informar a las autoridades competentes para su atención inmediata</w:t>
      </w:r>
      <w:r>
        <w:rPr>
          <w:rFonts w:ascii="Arial" w:hAnsi="Arial" w:cs="Arial"/>
        </w:rPr>
        <w:t xml:space="preserve"> (SUP-REC-531/2018)</w:t>
      </w:r>
      <w:r w:rsidRPr="008142C7">
        <w:rPr>
          <w:rFonts w:ascii="Arial" w:hAnsi="Arial" w:cs="Arial"/>
        </w:rPr>
        <w:t>.</w:t>
      </w:r>
    </w:p>
    <w:p w14:paraId="712FA920" w14:textId="68044AC1" w:rsidR="006F40B9" w:rsidRDefault="006F40B9" w:rsidP="0039493A">
      <w:pPr>
        <w:spacing w:line="360" w:lineRule="auto"/>
        <w:jc w:val="both"/>
        <w:rPr>
          <w:rFonts w:ascii="Arial" w:hAnsi="Arial" w:cs="Arial"/>
        </w:rPr>
      </w:pPr>
    </w:p>
    <w:p w14:paraId="3A879733" w14:textId="6EE410C7" w:rsidR="006F40B9" w:rsidRDefault="00B97FE3" w:rsidP="006F40B9">
      <w:pPr>
        <w:spacing w:line="360" w:lineRule="auto"/>
        <w:jc w:val="both"/>
        <w:rPr>
          <w:rFonts w:ascii="Arial" w:hAnsi="Arial" w:cs="Arial"/>
        </w:rPr>
      </w:pPr>
      <w:r>
        <w:rPr>
          <w:rFonts w:ascii="Arial" w:hAnsi="Arial" w:cs="Arial"/>
        </w:rPr>
        <w:t>Una</w:t>
      </w:r>
      <w:r w:rsidR="006F40B9">
        <w:rPr>
          <w:rFonts w:ascii="Arial" w:hAnsi="Arial" w:cs="Arial"/>
        </w:rPr>
        <w:t xml:space="preserve"> medida de protección y sancionatoria,</w:t>
      </w:r>
      <w:r w:rsidR="006F40B9" w:rsidRPr="008142C7">
        <w:rPr>
          <w:rFonts w:ascii="Arial" w:hAnsi="Arial" w:cs="Arial"/>
        </w:rPr>
        <w:t xml:space="preserve"> </w:t>
      </w:r>
      <w:r>
        <w:rPr>
          <w:rFonts w:ascii="Arial" w:hAnsi="Arial" w:cs="Arial"/>
        </w:rPr>
        <w:t xml:space="preserve">es </w:t>
      </w:r>
      <w:r w:rsidR="006F40B9" w:rsidRPr="00280A52">
        <w:rPr>
          <w:rFonts w:ascii="Arial" w:hAnsi="Arial" w:cs="Arial"/>
        </w:rPr>
        <w:t>la suspensión de propaganda con VPG</w:t>
      </w:r>
      <w:r>
        <w:rPr>
          <w:rFonts w:ascii="Arial" w:hAnsi="Arial" w:cs="Arial"/>
        </w:rPr>
        <w:t xml:space="preserve"> </w:t>
      </w:r>
      <w:r w:rsidR="006F40B9" w:rsidRPr="00406FA3">
        <w:rPr>
          <w:rFonts w:ascii="Arial" w:hAnsi="Arial" w:cs="Arial"/>
        </w:rPr>
        <w:t>cuando se acreditan actos u omisiones de VPG (SUP-REP-602/2018 y SUP-REP-612/2018 acumulados</w:t>
      </w:r>
      <w:r w:rsidR="006F40B9">
        <w:rPr>
          <w:rFonts w:ascii="Arial" w:hAnsi="Arial" w:cs="Arial"/>
        </w:rPr>
        <w:t>).</w:t>
      </w:r>
    </w:p>
    <w:p w14:paraId="07B4B4C5" w14:textId="07A9BA04" w:rsidR="006F40B9" w:rsidRDefault="006F40B9" w:rsidP="0039493A">
      <w:pPr>
        <w:spacing w:line="360" w:lineRule="auto"/>
        <w:jc w:val="both"/>
        <w:rPr>
          <w:rFonts w:ascii="Arial" w:hAnsi="Arial" w:cs="Arial"/>
        </w:rPr>
      </w:pPr>
    </w:p>
    <w:p w14:paraId="0BD47361" w14:textId="77777777" w:rsidR="006F40B9" w:rsidRDefault="006F40B9" w:rsidP="006F40B9">
      <w:pPr>
        <w:spacing w:line="360" w:lineRule="auto"/>
        <w:jc w:val="both"/>
        <w:rPr>
          <w:rFonts w:ascii="Arial" w:hAnsi="Arial" w:cs="Arial"/>
        </w:rPr>
      </w:pPr>
      <w:r>
        <w:rPr>
          <w:rFonts w:ascii="Arial" w:hAnsi="Arial" w:cs="Arial"/>
        </w:rPr>
        <w:t>Una medida de no repetición y sancionatoria que e</w:t>
      </w:r>
      <w:r w:rsidRPr="008142C7">
        <w:rPr>
          <w:rFonts w:ascii="Arial" w:hAnsi="Arial" w:cs="Arial"/>
        </w:rPr>
        <w:t xml:space="preserve">l TEPJF resolvió </w:t>
      </w:r>
      <w:r>
        <w:rPr>
          <w:rFonts w:ascii="Arial" w:hAnsi="Arial" w:cs="Arial"/>
        </w:rPr>
        <w:t xml:space="preserve">es que </w:t>
      </w:r>
      <w:r w:rsidRPr="008142C7">
        <w:rPr>
          <w:rFonts w:ascii="Arial" w:hAnsi="Arial" w:cs="Arial"/>
        </w:rPr>
        <w:t xml:space="preserve">cuando se busca la reelección, </w:t>
      </w:r>
      <w:r w:rsidRPr="00C358D0">
        <w:rPr>
          <w:rFonts w:ascii="Arial" w:hAnsi="Arial" w:cs="Arial"/>
        </w:rPr>
        <w:t xml:space="preserve">un requisito de elegibilidad </w:t>
      </w:r>
      <w:r>
        <w:rPr>
          <w:rFonts w:ascii="Arial" w:hAnsi="Arial" w:cs="Arial"/>
        </w:rPr>
        <w:t xml:space="preserve">de </w:t>
      </w:r>
      <w:r w:rsidRPr="00C358D0">
        <w:rPr>
          <w:rFonts w:ascii="Arial" w:hAnsi="Arial" w:cs="Arial"/>
        </w:rPr>
        <w:t>tener</w:t>
      </w:r>
      <w:r w:rsidRPr="008142C7">
        <w:rPr>
          <w:rFonts w:ascii="Arial" w:hAnsi="Arial" w:cs="Arial"/>
          <w:b/>
          <w:bCs/>
        </w:rPr>
        <w:t xml:space="preserve"> </w:t>
      </w:r>
      <w:r w:rsidRPr="00013646">
        <w:rPr>
          <w:rFonts w:ascii="Arial" w:hAnsi="Arial" w:cs="Arial"/>
        </w:rPr>
        <w:t>un modo honesto de vivir, el cual se desvirtúa con la comisión de VPG durante el ejercicio del cargo</w:t>
      </w:r>
      <w:r>
        <w:rPr>
          <w:rFonts w:ascii="Arial" w:hAnsi="Arial" w:cs="Arial"/>
          <w:b/>
          <w:bCs/>
        </w:rPr>
        <w:t xml:space="preserve"> </w:t>
      </w:r>
      <w:r w:rsidRPr="002D729A">
        <w:rPr>
          <w:rFonts w:ascii="Arial" w:hAnsi="Arial" w:cs="Arial"/>
        </w:rPr>
        <w:t>(SUP-REC-531/2018).</w:t>
      </w:r>
      <w:r w:rsidRPr="008142C7">
        <w:rPr>
          <w:rFonts w:ascii="Arial" w:hAnsi="Arial" w:cs="Arial"/>
          <w:b/>
          <w:bCs/>
        </w:rPr>
        <w:t xml:space="preserve"> </w:t>
      </w:r>
    </w:p>
    <w:p w14:paraId="231C32C5" w14:textId="77777777" w:rsidR="006F40B9" w:rsidRDefault="006F40B9" w:rsidP="0039493A">
      <w:pPr>
        <w:spacing w:line="360" w:lineRule="auto"/>
        <w:jc w:val="both"/>
        <w:rPr>
          <w:rFonts w:ascii="Arial" w:hAnsi="Arial" w:cs="Arial"/>
        </w:rPr>
      </w:pPr>
    </w:p>
    <w:p w14:paraId="6E4DEB80" w14:textId="77777777" w:rsidR="006F40B9" w:rsidRDefault="006F40B9" w:rsidP="006F40B9">
      <w:pPr>
        <w:spacing w:line="360" w:lineRule="auto"/>
        <w:jc w:val="both"/>
        <w:rPr>
          <w:rFonts w:ascii="Arial" w:hAnsi="Arial" w:cs="Arial"/>
        </w:rPr>
      </w:pPr>
      <w:r>
        <w:rPr>
          <w:rFonts w:ascii="Arial" w:hAnsi="Arial" w:cs="Arial"/>
        </w:rPr>
        <w:t>Así como se puede ver de los casos anteriores se ha juzgado con perspectiva de género, que además fueron temas incluidos en la reforma del trece de abril de 2020, sin embargo, eso no ha sido suficiente para resolver los casos judiciales electorales sobre la violencia política por razones de género. Por esta razón, se han emitido otros criterios que los han fortalecido, como los que enseguida se explican.</w:t>
      </w:r>
    </w:p>
    <w:p w14:paraId="7B684BC7" w14:textId="6B3012C4" w:rsidR="00E9471E" w:rsidRDefault="00E9471E" w:rsidP="0040481B">
      <w:pPr>
        <w:spacing w:line="360" w:lineRule="auto"/>
        <w:ind w:right="49"/>
        <w:jc w:val="both"/>
        <w:rPr>
          <w:rFonts w:ascii="Arial" w:hAnsi="Arial" w:cs="Arial"/>
        </w:rPr>
      </w:pPr>
    </w:p>
    <w:p w14:paraId="2E4CE49D" w14:textId="3E559814" w:rsidR="00E9471E" w:rsidRDefault="00E9471E" w:rsidP="0040481B">
      <w:pPr>
        <w:spacing w:line="360" w:lineRule="auto"/>
        <w:ind w:right="49"/>
        <w:jc w:val="both"/>
        <w:rPr>
          <w:rFonts w:ascii="Arial" w:hAnsi="Arial" w:cs="Arial"/>
          <w:b/>
          <w:bCs/>
        </w:rPr>
      </w:pPr>
      <w:r w:rsidRPr="00E9471E">
        <w:rPr>
          <w:rFonts w:ascii="Arial" w:hAnsi="Arial" w:cs="Arial"/>
          <w:b/>
          <w:bCs/>
        </w:rPr>
        <w:t xml:space="preserve">IV. La </w:t>
      </w:r>
      <w:r w:rsidR="00347B16">
        <w:rPr>
          <w:rFonts w:ascii="Arial" w:hAnsi="Arial" w:cs="Arial"/>
          <w:b/>
          <w:bCs/>
        </w:rPr>
        <w:t xml:space="preserve">valoración y </w:t>
      </w:r>
      <w:r w:rsidRPr="00E9471E">
        <w:rPr>
          <w:rFonts w:ascii="Arial" w:hAnsi="Arial" w:cs="Arial"/>
          <w:b/>
          <w:bCs/>
        </w:rPr>
        <w:t xml:space="preserve">reversión de la carga </w:t>
      </w:r>
      <w:r w:rsidR="00347B16">
        <w:rPr>
          <w:rFonts w:ascii="Arial" w:hAnsi="Arial" w:cs="Arial"/>
          <w:b/>
          <w:bCs/>
        </w:rPr>
        <w:t>probatoria con perspectiva de género</w:t>
      </w:r>
    </w:p>
    <w:p w14:paraId="437107F8" w14:textId="77777777" w:rsidR="00347B16" w:rsidRDefault="00347B16" w:rsidP="00347B16">
      <w:pPr>
        <w:spacing w:line="360" w:lineRule="auto"/>
        <w:ind w:right="49"/>
        <w:jc w:val="both"/>
        <w:rPr>
          <w:rFonts w:ascii="Arial" w:hAnsi="Arial" w:cs="Arial"/>
          <w:b/>
          <w:bCs/>
        </w:rPr>
      </w:pPr>
    </w:p>
    <w:p w14:paraId="2A92FA6C" w14:textId="4FDF4581" w:rsidR="00DC18BB" w:rsidRDefault="00DC18BB" w:rsidP="00347B16">
      <w:pPr>
        <w:spacing w:line="360" w:lineRule="auto"/>
        <w:ind w:right="49"/>
        <w:jc w:val="both"/>
        <w:rPr>
          <w:rFonts w:ascii="Arial" w:hAnsi="Arial" w:cs="Arial"/>
        </w:rPr>
      </w:pPr>
      <w:r>
        <w:rPr>
          <w:rFonts w:ascii="Arial" w:hAnsi="Arial" w:cs="Arial"/>
        </w:rPr>
        <w:t xml:space="preserve">Para las </w:t>
      </w:r>
      <w:r w:rsidR="00347B16" w:rsidRPr="00DC18BB">
        <w:rPr>
          <w:rFonts w:ascii="Arial" w:hAnsi="Arial" w:cs="Arial"/>
        </w:rPr>
        <w:t xml:space="preserve">mujeres </w:t>
      </w:r>
      <w:r>
        <w:rPr>
          <w:rFonts w:ascii="Arial" w:hAnsi="Arial" w:cs="Arial"/>
        </w:rPr>
        <w:t>que se atreven a denunciar casos de violencia política por razones de género, ese acto es ya en sí</w:t>
      </w:r>
      <w:r w:rsidR="00B97FE3">
        <w:rPr>
          <w:rFonts w:ascii="Arial" w:hAnsi="Arial" w:cs="Arial"/>
        </w:rPr>
        <w:t xml:space="preserve"> </w:t>
      </w:r>
      <w:r>
        <w:rPr>
          <w:rFonts w:ascii="Arial" w:hAnsi="Arial" w:cs="Arial"/>
        </w:rPr>
        <w:t xml:space="preserve">difícil </w:t>
      </w:r>
      <w:r w:rsidR="00B97FE3">
        <w:rPr>
          <w:rFonts w:ascii="Arial" w:hAnsi="Arial" w:cs="Arial"/>
        </w:rPr>
        <w:t xml:space="preserve">para ellas, porque se pueden enfrentar, generalmente, a acciones que las pongan en mayor riesgo o que las discriminen por la misma sociedad que las rodea. </w:t>
      </w:r>
      <w:r>
        <w:rPr>
          <w:rFonts w:ascii="Arial" w:hAnsi="Arial" w:cs="Arial"/>
        </w:rPr>
        <w:t xml:space="preserve"> </w:t>
      </w:r>
    </w:p>
    <w:p w14:paraId="3560EDD3" w14:textId="77777777" w:rsidR="00DC18BB" w:rsidRDefault="00DC18BB" w:rsidP="00347B16">
      <w:pPr>
        <w:spacing w:line="360" w:lineRule="auto"/>
        <w:ind w:right="49"/>
        <w:jc w:val="both"/>
        <w:rPr>
          <w:rFonts w:ascii="Arial" w:hAnsi="Arial" w:cs="Arial"/>
        </w:rPr>
      </w:pPr>
    </w:p>
    <w:p w14:paraId="0A47B4E2" w14:textId="2CE0FF78" w:rsidR="00DC18BB" w:rsidRDefault="00B97FE3" w:rsidP="00347B16">
      <w:pPr>
        <w:spacing w:line="360" w:lineRule="auto"/>
        <w:ind w:right="49"/>
        <w:jc w:val="both"/>
        <w:rPr>
          <w:rFonts w:ascii="Arial" w:hAnsi="Arial" w:cs="Arial"/>
        </w:rPr>
      </w:pPr>
      <w:r>
        <w:rPr>
          <w:rFonts w:ascii="Arial" w:hAnsi="Arial" w:cs="Arial"/>
        </w:rPr>
        <w:t>En ese tenor, tener</w:t>
      </w:r>
      <w:r w:rsidR="00DC18BB">
        <w:rPr>
          <w:rFonts w:ascii="Arial" w:hAnsi="Arial" w:cs="Arial"/>
        </w:rPr>
        <w:t xml:space="preserve"> que probar los hechos que invocan en sus demandas para </w:t>
      </w:r>
      <w:r>
        <w:rPr>
          <w:rFonts w:ascii="Arial" w:hAnsi="Arial" w:cs="Arial"/>
        </w:rPr>
        <w:t xml:space="preserve">acreditar </w:t>
      </w:r>
      <w:r w:rsidR="00DC18BB">
        <w:rPr>
          <w:rFonts w:ascii="Arial" w:hAnsi="Arial" w:cs="Arial"/>
        </w:rPr>
        <w:t xml:space="preserve">que fueron objeto de daños, menoscabos y ofensas que constituyen ese tipo de violencia hacia ellas, desde la visión de juzgar con perspectiva de género, resulta también una carga para la posible víctima. </w:t>
      </w:r>
    </w:p>
    <w:p w14:paraId="49F87D67" w14:textId="5CEFC0F1" w:rsidR="00DC18BB" w:rsidRDefault="00DC18BB" w:rsidP="00347B16">
      <w:pPr>
        <w:spacing w:line="360" w:lineRule="auto"/>
        <w:ind w:right="49"/>
        <w:jc w:val="both"/>
        <w:rPr>
          <w:rFonts w:ascii="Arial" w:hAnsi="Arial" w:cs="Arial"/>
        </w:rPr>
      </w:pPr>
    </w:p>
    <w:p w14:paraId="74C9C64C" w14:textId="680FB8E1" w:rsidR="00DC18BB" w:rsidRDefault="00DC18BB" w:rsidP="00347B16">
      <w:pPr>
        <w:spacing w:line="360" w:lineRule="auto"/>
        <w:ind w:right="49"/>
        <w:jc w:val="both"/>
        <w:rPr>
          <w:rFonts w:ascii="Arial" w:hAnsi="Arial" w:cs="Arial"/>
        </w:rPr>
      </w:pPr>
      <w:r>
        <w:rPr>
          <w:rFonts w:ascii="Arial" w:hAnsi="Arial" w:cs="Arial"/>
        </w:rPr>
        <w:t xml:space="preserve">En otras palabras, exigir a quien denuncia los actos de violencia política por razón de género que pruebe los hechos, pueden, generalmente revictimizar a la persona denunciante. </w:t>
      </w:r>
    </w:p>
    <w:p w14:paraId="3564A22D" w14:textId="77777777" w:rsidR="00DC18BB" w:rsidRDefault="00DC18BB" w:rsidP="00347B16">
      <w:pPr>
        <w:spacing w:line="360" w:lineRule="auto"/>
        <w:ind w:right="49"/>
        <w:jc w:val="both"/>
        <w:rPr>
          <w:rFonts w:ascii="Arial" w:hAnsi="Arial" w:cs="Arial"/>
        </w:rPr>
      </w:pPr>
    </w:p>
    <w:p w14:paraId="624B89FC" w14:textId="004E8880" w:rsidR="00347B16" w:rsidRPr="00996752" w:rsidRDefault="00DC18BB" w:rsidP="00347B16">
      <w:pPr>
        <w:spacing w:line="360" w:lineRule="auto"/>
        <w:ind w:right="49"/>
        <w:jc w:val="both"/>
        <w:rPr>
          <w:rFonts w:ascii="Arial" w:hAnsi="Arial" w:cs="Arial"/>
        </w:rPr>
      </w:pPr>
      <w:r>
        <w:rPr>
          <w:rFonts w:ascii="Arial" w:hAnsi="Arial" w:cs="Arial"/>
        </w:rPr>
        <w:t xml:space="preserve">Ante ese escenario, para que la persona </w:t>
      </w:r>
      <w:r w:rsidR="00347B16" w:rsidRPr="00DC18BB">
        <w:rPr>
          <w:rFonts w:ascii="Arial" w:hAnsi="Arial" w:cs="Arial"/>
        </w:rPr>
        <w:t xml:space="preserve">objeto de la violencia no sea colocada en una situación de </w:t>
      </w:r>
      <w:r>
        <w:rPr>
          <w:rFonts w:ascii="Arial" w:hAnsi="Arial" w:cs="Arial"/>
        </w:rPr>
        <w:t xml:space="preserve">mayor </w:t>
      </w:r>
      <w:r w:rsidR="00347B16" w:rsidRPr="00DC18BB">
        <w:rPr>
          <w:rFonts w:ascii="Arial" w:hAnsi="Arial" w:cs="Arial"/>
        </w:rPr>
        <w:t xml:space="preserve">vulnerabilidad, </w:t>
      </w:r>
      <w:r>
        <w:rPr>
          <w:rFonts w:ascii="Arial" w:hAnsi="Arial" w:cs="Arial"/>
        </w:rPr>
        <w:t xml:space="preserve">la Sala Superior en su resolución SUP-REC-91-2020, estableció la figura de la reversión de la carga de la prueba. </w:t>
      </w:r>
    </w:p>
    <w:p w14:paraId="72A210E2" w14:textId="77777777" w:rsidR="00347B16" w:rsidRPr="0040481B" w:rsidRDefault="00347B16" w:rsidP="00347B16">
      <w:pPr>
        <w:spacing w:line="360" w:lineRule="auto"/>
        <w:ind w:right="49"/>
        <w:jc w:val="both"/>
        <w:rPr>
          <w:rFonts w:ascii="Arial" w:hAnsi="Arial" w:cs="Arial"/>
        </w:rPr>
      </w:pPr>
    </w:p>
    <w:p w14:paraId="4E6EA277" w14:textId="3C592652" w:rsidR="00347B16" w:rsidRDefault="00347B16" w:rsidP="00347B16">
      <w:pPr>
        <w:spacing w:line="360" w:lineRule="auto"/>
        <w:ind w:right="49"/>
        <w:jc w:val="both"/>
        <w:rPr>
          <w:rFonts w:ascii="Arial" w:hAnsi="Arial" w:cs="Arial"/>
        </w:rPr>
      </w:pPr>
      <w:r w:rsidRPr="0040481B">
        <w:rPr>
          <w:rFonts w:ascii="Arial" w:hAnsi="Arial" w:cs="Arial"/>
        </w:rPr>
        <w:t>E</w:t>
      </w:r>
      <w:r w:rsidR="00F91D93">
        <w:rPr>
          <w:rFonts w:ascii="Arial" w:hAnsi="Arial" w:cs="Arial"/>
        </w:rPr>
        <w:t>n esa decisión se señaló que e</w:t>
      </w:r>
      <w:r w:rsidRPr="0040481B">
        <w:rPr>
          <w:rFonts w:ascii="Arial" w:hAnsi="Arial" w:cs="Arial"/>
        </w:rPr>
        <w:t>n casos de violencia política de género la prueba que aporta la víctima goza de presunción de veracidad sobre lo que acontece en los hechos narrados.</w:t>
      </w:r>
    </w:p>
    <w:p w14:paraId="055B8C85" w14:textId="77777777" w:rsidR="00347B16" w:rsidRPr="0040481B" w:rsidRDefault="00347B16" w:rsidP="00347B16">
      <w:pPr>
        <w:spacing w:line="360" w:lineRule="auto"/>
        <w:ind w:right="49"/>
        <w:jc w:val="both"/>
        <w:rPr>
          <w:rFonts w:ascii="Arial" w:hAnsi="Arial" w:cs="Arial"/>
        </w:rPr>
      </w:pPr>
    </w:p>
    <w:p w14:paraId="242A8344" w14:textId="398FF378" w:rsidR="00347B16" w:rsidRDefault="00F91D93" w:rsidP="00347B16">
      <w:pPr>
        <w:spacing w:line="360" w:lineRule="auto"/>
        <w:ind w:right="49"/>
        <w:jc w:val="both"/>
        <w:rPr>
          <w:rFonts w:ascii="Arial" w:hAnsi="Arial" w:cs="Arial"/>
        </w:rPr>
      </w:pPr>
      <w:r>
        <w:rPr>
          <w:rFonts w:ascii="Arial" w:hAnsi="Arial" w:cs="Arial"/>
        </w:rPr>
        <w:t>Lo anterior bajo la lógica que, l</w:t>
      </w:r>
      <w:r w:rsidR="00347B16" w:rsidRPr="0040481B">
        <w:rPr>
          <w:rFonts w:ascii="Arial" w:hAnsi="Arial" w:cs="Arial"/>
        </w:rPr>
        <w:t xml:space="preserve">a violencia política por razón de género, generalmente en cualquiera de sus tipos, no responde a un paradigma o patrón común que pueda fácilmente evidenciarse y hacerse visibles, sobre todo en casos en los que </w:t>
      </w:r>
      <w:r w:rsidRPr="0040481B">
        <w:rPr>
          <w:rFonts w:ascii="Arial" w:hAnsi="Arial" w:cs="Arial"/>
        </w:rPr>
        <w:t>las significaciones discriminatorias</w:t>
      </w:r>
      <w:r w:rsidR="00347B16" w:rsidRPr="0040481B">
        <w:rPr>
          <w:rFonts w:ascii="Arial" w:hAnsi="Arial" w:cs="Arial"/>
        </w:rPr>
        <w:t xml:space="preserve"> y de desigualdad a la persona violentada, forman parte de una estructura social</w:t>
      </w:r>
      <w:r>
        <w:rPr>
          <w:rFonts w:ascii="Arial" w:hAnsi="Arial" w:cs="Arial"/>
        </w:rPr>
        <w:t xml:space="preserve"> histórica</w:t>
      </w:r>
      <w:r w:rsidR="00347B16" w:rsidRPr="0040481B">
        <w:rPr>
          <w:rFonts w:ascii="Arial" w:hAnsi="Arial" w:cs="Arial"/>
        </w:rPr>
        <w:t>.</w:t>
      </w:r>
    </w:p>
    <w:p w14:paraId="0DFA7CFB" w14:textId="77777777" w:rsidR="00347B16" w:rsidRPr="0040481B" w:rsidRDefault="00347B16" w:rsidP="00347B16">
      <w:pPr>
        <w:spacing w:line="360" w:lineRule="auto"/>
        <w:ind w:right="49"/>
        <w:jc w:val="both"/>
        <w:rPr>
          <w:rFonts w:ascii="Arial" w:hAnsi="Arial" w:cs="Arial"/>
        </w:rPr>
      </w:pPr>
    </w:p>
    <w:p w14:paraId="5D996247" w14:textId="459B9264" w:rsidR="00347B16" w:rsidRDefault="00347B16" w:rsidP="00347B16">
      <w:pPr>
        <w:spacing w:line="360" w:lineRule="auto"/>
        <w:ind w:right="49"/>
        <w:jc w:val="both"/>
        <w:rPr>
          <w:rFonts w:ascii="Arial" w:hAnsi="Arial" w:cs="Arial"/>
        </w:rPr>
      </w:pPr>
      <w:r w:rsidRPr="0040481B">
        <w:rPr>
          <w:rFonts w:ascii="Arial" w:hAnsi="Arial" w:cs="Arial"/>
        </w:rPr>
        <w:t xml:space="preserve">En otras palabras, en los casos de cualquier tipo de violencia política contra las mujeres, no se puede esperar la existencia cotidiana de pruebas testimoniales, gráficas o documentales que tengan valor probatorio pleno, es por ello </w:t>
      </w:r>
      <w:proofErr w:type="gramStart"/>
      <w:r w:rsidRPr="0040481B">
        <w:rPr>
          <w:rFonts w:ascii="Arial" w:hAnsi="Arial" w:cs="Arial"/>
        </w:rPr>
        <w:t>que</w:t>
      </w:r>
      <w:proofErr w:type="gramEnd"/>
      <w:r w:rsidRPr="0040481B">
        <w:rPr>
          <w:rFonts w:ascii="Arial" w:hAnsi="Arial" w:cs="Arial"/>
        </w:rPr>
        <w:t xml:space="preserve"> la aportación de pruebas de la víctima constituye una prueba fundamental sobre el hecho</w:t>
      </w:r>
      <w:r w:rsidR="00F91D93">
        <w:rPr>
          <w:rFonts w:ascii="Arial" w:hAnsi="Arial" w:cs="Arial"/>
        </w:rPr>
        <w:t xml:space="preserve">, </w:t>
      </w:r>
      <w:r w:rsidR="00B97FE3">
        <w:rPr>
          <w:rFonts w:ascii="Arial" w:hAnsi="Arial" w:cs="Arial"/>
        </w:rPr>
        <w:t xml:space="preserve">y </w:t>
      </w:r>
      <w:r w:rsidR="00F91D93">
        <w:rPr>
          <w:rFonts w:ascii="Arial" w:hAnsi="Arial" w:cs="Arial"/>
        </w:rPr>
        <w:t>que la perspectiva de género aplicad</w:t>
      </w:r>
      <w:r w:rsidR="00B97FE3">
        <w:rPr>
          <w:rFonts w:ascii="Arial" w:hAnsi="Arial" w:cs="Arial"/>
        </w:rPr>
        <w:t>a</w:t>
      </w:r>
      <w:r w:rsidR="00F91D93">
        <w:rPr>
          <w:rFonts w:ascii="Arial" w:hAnsi="Arial" w:cs="Arial"/>
        </w:rPr>
        <w:t xml:space="preserve"> al caso por la y el juzgador deben </w:t>
      </w:r>
      <w:r w:rsidR="00B97FE3">
        <w:rPr>
          <w:rFonts w:ascii="Arial" w:hAnsi="Arial" w:cs="Arial"/>
        </w:rPr>
        <w:t xml:space="preserve">ser </w:t>
      </w:r>
      <w:r w:rsidR="00F91D93">
        <w:rPr>
          <w:rFonts w:ascii="Arial" w:hAnsi="Arial" w:cs="Arial"/>
        </w:rPr>
        <w:t>siempre considera</w:t>
      </w:r>
      <w:r w:rsidR="00B97FE3">
        <w:rPr>
          <w:rFonts w:ascii="Arial" w:hAnsi="Arial" w:cs="Arial"/>
        </w:rPr>
        <w:t>da</w:t>
      </w:r>
      <w:r w:rsidR="00F91D93">
        <w:rPr>
          <w:rFonts w:ascii="Arial" w:hAnsi="Arial" w:cs="Arial"/>
        </w:rPr>
        <w:t xml:space="preserve">. </w:t>
      </w:r>
    </w:p>
    <w:p w14:paraId="605C275E" w14:textId="77777777" w:rsidR="00347B16" w:rsidRPr="0040481B" w:rsidRDefault="00347B16" w:rsidP="00347B16">
      <w:pPr>
        <w:spacing w:line="360" w:lineRule="auto"/>
        <w:ind w:right="49"/>
        <w:jc w:val="both"/>
        <w:rPr>
          <w:rFonts w:ascii="Arial" w:hAnsi="Arial" w:cs="Arial"/>
        </w:rPr>
      </w:pPr>
    </w:p>
    <w:p w14:paraId="4A5F185D" w14:textId="77777777" w:rsidR="00347B16" w:rsidRDefault="00347B16" w:rsidP="00347B16">
      <w:pPr>
        <w:spacing w:line="360" w:lineRule="auto"/>
        <w:ind w:right="49"/>
        <w:jc w:val="both"/>
        <w:rPr>
          <w:rFonts w:ascii="Arial" w:hAnsi="Arial" w:cs="Arial"/>
        </w:rPr>
      </w:pPr>
      <w:r w:rsidRPr="0040481B">
        <w:rPr>
          <w:rFonts w:ascii="Arial" w:hAnsi="Arial" w:cs="Arial"/>
        </w:rPr>
        <w:t xml:space="preserve">En ese sentido, la manifestación por actos de violencia política </w:t>
      </w:r>
      <w:proofErr w:type="gramStart"/>
      <w:r w:rsidRPr="0040481B">
        <w:rPr>
          <w:rFonts w:ascii="Arial" w:hAnsi="Arial" w:cs="Arial"/>
        </w:rPr>
        <w:t>en razón de</w:t>
      </w:r>
      <w:proofErr w:type="gramEnd"/>
      <w:r w:rsidRPr="0040481B">
        <w:rPr>
          <w:rFonts w:ascii="Arial" w:hAnsi="Arial" w:cs="Arial"/>
        </w:rPr>
        <w:t xml:space="preserve"> género de la víctima, si se enlaza a cualquier otro indicio o conjunto de indicios probatorios, aunque no sea de la misma calidad, en conjunto puede integrar prueba circunstancial de valor pleno.</w:t>
      </w:r>
    </w:p>
    <w:p w14:paraId="3EF3981A" w14:textId="77777777" w:rsidR="0040481B" w:rsidRPr="0040481B" w:rsidRDefault="0040481B" w:rsidP="0040481B">
      <w:pPr>
        <w:spacing w:line="360" w:lineRule="auto"/>
        <w:ind w:right="49"/>
        <w:jc w:val="both"/>
        <w:rPr>
          <w:rFonts w:ascii="Arial" w:hAnsi="Arial" w:cs="Arial"/>
        </w:rPr>
      </w:pPr>
    </w:p>
    <w:p w14:paraId="46F351C4" w14:textId="566DCB74" w:rsidR="0040481B" w:rsidRDefault="00F91D93" w:rsidP="0040481B">
      <w:pPr>
        <w:spacing w:line="360" w:lineRule="auto"/>
        <w:ind w:right="49"/>
        <w:jc w:val="both"/>
        <w:rPr>
          <w:rFonts w:ascii="Arial" w:hAnsi="Arial" w:cs="Arial"/>
        </w:rPr>
      </w:pPr>
      <w:r>
        <w:rPr>
          <w:rFonts w:ascii="Arial" w:hAnsi="Arial" w:cs="Arial"/>
        </w:rPr>
        <w:t>E</w:t>
      </w:r>
      <w:r w:rsidR="00B97FE3">
        <w:rPr>
          <w:rFonts w:ascii="Arial" w:hAnsi="Arial" w:cs="Arial"/>
        </w:rPr>
        <w:t xml:space="preserve">l ejercicio de </w:t>
      </w:r>
      <w:r>
        <w:rPr>
          <w:rFonts w:ascii="Arial" w:hAnsi="Arial" w:cs="Arial"/>
        </w:rPr>
        <w:t>la</w:t>
      </w:r>
      <w:r w:rsidR="0040481B" w:rsidRPr="0040481B">
        <w:rPr>
          <w:rFonts w:ascii="Arial" w:hAnsi="Arial" w:cs="Arial"/>
        </w:rPr>
        <w:t xml:space="preserve"> valoración de las pruebas en casos de </w:t>
      </w:r>
      <w:r w:rsidR="00B97FE3">
        <w:rPr>
          <w:rFonts w:ascii="Arial" w:hAnsi="Arial" w:cs="Arial"/>
        </w:rPr>
        <w:t xml:space="preserve">VPG </w:t>
      </w:r>
      <w:r w:rsidR="0040481B" w:rsidRPr="0040481B">
        <w:rPr>
          <w:rFonts w:ascii="Arial" w:hAnsi="Arial" w:cs="Arial"/>
        </w:rPr>
        <w:t xml:space="preserve">debe realizarse con perspectiva de género, en el cual no se traslade a las víctimas la responsabilidad de aportar lo necesario para probar los hechos, </w:t>
      </w:r>
      <w:r w:rsidR="00B97FE3">
        <w:rPr>
          <w:rFonts w:ascii="Arial" w:hAnsi="Arial" w:cs="Arial"/>
        </w:rPr>
        <w:t>para</w:t>
      </w:r>
      <w:r w:rsidR="0040481B" w:rsidRPr="0040481B">
        <w:rPr>
          <w:rFonts w:ascii="Arial" w:hAnsi="Arial" w:cs="Arial"/>
        </w:rPr>
        <w:t xml:space="preserve"> impedir una interpretación estereotipada</w:t>
      </w:r>
      <w:r w:rsidR="00B97FE3">
        <w:rPr>
          <w:rFonts w:ascii="Arial" w:hAnsi="Arial" w:cs="Arial"/>
        </w:rPr>
        <w:t xml:space="preserve"> hacia</w:t>
      </w:r>
      <w:r w:rsidR="0040481B" w:rsidRPr="0040481B">
        <w:rPr>
          <w:rFonts w:ascii="Arial" w:hAnsi="Arial" w:cs="Arial"/>
        </w:rPr>
        <w:t xml:space="preserve"> las pruebas, y </w:t>
      </w:r>
      <w:r>
        <w:rPr>
          <w:rFonts w:ascii="Arial" w:hAnsi="Arial" w:cs="Arial"/>
        </w:rPr>
        <w:t xml:space="preserve">la emisión de </w:t>
      </w:r>
      <w:r w:rsidR="0040481B" w:rsidRPr="0040481B">
        <w:rPr>
          <w:rFonts w:ascii="Arial" w:hAnsi="Arial" w:cs="Arial"/>
        </w:rPr>
        <w:t xml:space="preserve">resoluciones carentes de consideraciones de género, </w:t>
      </w:r>
      <w:r w:rsidR="00B97FE3">
        <w:rPr>
          <w:rFonts w:ascii="Arial" w:hAnsi="Arial" w:cs="Arial"/>
        </w:rPr>
        <w:t xml:space="preserve">pues </w:t>
      </w:r>
      <w:r>
        <w:rPr>
          <w:rFonts w:ascii="Arial" w:hAnsi="Arial" w:cs="Arial"/>
        </w:rPr>
        <w:t>ello, llega</w:t>
      </w:r>
      <w:r w:rsidR="0040481B" w:rsidRPr="0040481B">
        <w:rPr>
          <w:rFonts w:ascii="Arial" w:hAnsi="Arial" w:cs="Arial"/>
        </w:rPr>
        <w:t xml:space="preserve"> </w:t>
      </w:r>
      <w:r>
        <w:rPr>
          <w:rFonts w:ascii="Arial" w:hAnsi="Arial" w:cs="Arial"/>
        </w:rPr>
        <w:t xml:space="preserve">a </w:t>
      </w:r>
      <w:r w:rsidR="0040481B" w:rsidRPr="0040481B">
        <w:rPr>
          <w:rFonts w:ascii="Arial" w:hAnsi="Arial" w:cs="Arial"/>
        </w:rPr>
        <w:t>obstaculiza</w:t>
      </w:r>
      <w:r>
        <w:rPr>
          <w:rFonts w:ascii="Arial" w:hAnsi="Arial" w:cs="Arial"/>
        </w:rPr>
        <w:t>r</w:t>
      </w:r>
      <w:r w:rsidR="0040481B" w:rsidRPr="0040481B">
        <w:rPr>
          <w:rFonts w:ascii="Arial" w:hAnsi="Arial" w:cs="Arial"/>
        </w:rPr>
        <w:t xml:space="preserve">, por un lado, el acceso de las mujeres víctimas a la justicia y por otro, la visión libre de estigmas respecto de las mujeres que se atreven a denunciar. </w:t>
      </w:r>
    </w:p>
    <w:p w14:paraId="0BADFCFE" w14:textId="77777777" w:rsidR="0040481B" w:rsidRPr="0040481B" w:rsidRDefault="0040481B" w:rsidP="0040481B">
      <w:pPr>
        <w:spacing w:line="360" w:lineRule="auto"/>
        <w:ind w:right="49"/>
        <w:jc w:val="both"/>
        <w:rPr>
          <w:rFonts w:ascii="Arial" w:hAnsi="Arial" w:cs="Arial"/>
        </w:rPr>
      </w:pPr>
    </w:p>
    <w:p w14:paraId="7F94A72A" w14:textId="1CDC7694" w:rsidR="0040481B" w:rsidRDefault="0040481B" w:rsidP="0040481B">
      <w:pPr>
        <w:spacing w:line="360" w:lineRule="auto"/>
        <w:ind w:right="49"/>
        <w:jc w:val="both"/>
        <w:rPr>
          <w:rFonts w:ascii="Arial" w:hAnsi="Arial" w:cs="Arial"/>
        </w:rPr>
      </w:pPr>
      <w:r w:rsidRPr="0040481B">
        <w:rPr>
          <w:rFonts w:ascii="Arial" w:hAnsi="Arial" w:cs="Arial"/>
        </w:rPr>
        <w:lastRenderedPageBreak/>
        <w:t xml:space="preserve">Por tanto, si la previsión que excepciona la regla del </w:t>
      </w:r>
      <w:proofErr w:type="spellStart"/>
      <w:r w:rsidRPr="00F91D93">
        <w:rPr>
          <w:rFonts w:ascii="Arial" w:hAnsi="Arial" w:cs="Arial"/>
          <w:i/>
          <w:iCs/>
        </w:rPr>
        <w:t>onus</w:t>
      </w:r>
      <w:proofErr w:type="spellEnd"/>
      <w:r w:rsidRPr="00F91D93">
        <w:rPr>
          <w:rFonts w:ascii="Arial" w:hAnsi="Arial" w:cs="Arial"/>
          <w:i/>
          <w:iCs/>
        </w:rPr>
        <w:t xml:space="preserve"> proband</w:t>
      </w:r>
      <w:r w:rsidR="00F91D93" w:rsidRPr="00F91D93">
        <w:rPr>
          <w:rFonts w:ascii="Arial" w:hAnsi="Arial" w:cs="Arial"/>
          <w:i/>
          <w:iCs/>
        </w:rPr>
        <w:t>i</w:t>
      </w:r>
      <w:r w:rsidRPr="0040481B">
        <w:rPr>
          <w:rFonts w:ascii="Arial" w:hAnsi="Arial" w:cs="Arial"/>
        </w:rPr>
        <w:t xml:space="preserve"> establecida como habitual, es la inversión de la carga de la prueba que la justicia debe considerar cuando una persona víctima de violencia lo denuncia. Esto es que, la persona demandada o victimaria es la que </w:t>
      </w:r>
      <w:r w:rsidR="00F91D93">
        <w:rPr>
          <w:rFonts w:ascii="Arial" w:hAnsi="Arial" w:cs="Arial"/>
        </w:rPr>
        <w:t>debe</w:t>
      </w:r>
      <w:r w:rsidRPr="0040481B">
        <w:rPr>
          <w:rFonts w:ascii="Arial" w:hAnsi="Arial" w:cs="Arial"/>
        </w:rPr>
        <w:t xml:space="preserve"> desvirtuar de manera </w:t>
      </w:r>
      <w:r w:rsidR="00B97FE3" w:rsidRPr="0040481B">
        <w:rPr>
          <w:rFonts w:ascii="Arial" w:hAnsi="Arial" w:cs="Arial"/>
        </w:rPr>
        <w:t>incuestionable</w:t>
      </w:r>
      <w:r w:rsidRPr="0040481B">
        <w:rPr>
          <w:rFonts w:ascii="Arial" w:hAnsi="Arial" w:cs="Arial"/>
        </w:rPr>
        <w:t xml:space="preserve"> la inexistencia de los hechos en los que se base la infracción. </w:t>
      </w:r>
    </w:p>
    <w:p w14:paraId="27309610" w14:textId="77777777" w:rsidR="0040481B" w:rsidRPr="0040481B" w:rsidRDefault="0040481B" w:rsidP="0040481B">
      <w:pPr>
        <w:spacing w:line="360" w:lineRule="auto"/>
        <w:ind w:right="49"/>
        <w:jc w:val="both"/>
        <w:rPr>
          <w:rFonts w:ascii="Arial" w:hAnsi="Arial" w:cs="Arial"/>
        </w:rPr>
      </w:pPr>
    </w:p>
    <w:p w14:paraId="04DDE3BB" w14:textId="77777777" w:rsidR="0040481B" w:rsidRPr="0040481B" w:rsidRDefault="0040481B" w:rsidP="0040481B">
      <w:pPr>
        <w:spacing w:line="360" w:lineRule="auto"/>
        <w:ind w:right="49"/>
        <w:jc w:val="both"/>
        <w:rPr>
          <w:rFonts w:ascii="Arial" w:hAnsi="Arial" w:cs="Arial"/>
        </w:rPr>
      </w:pPr>
      <w:r w:rsidRPr="0040481B">
        <w:rPr>
          <w:rFonts w:ascii="Arial" w:hAnsi="Arial" w:cs="Arial"/>
        </w:rPr>
        <w:t>Los actos de violencia basada en el género tienen lugar en espacios privados donde ocasionalmente sólo se encuentran la víctima y su agresor y, por ende, no pueden someterse a un estándar imposible de prueba, por lo que su comprobación debe tener como base principal el dicho de la víctima leído en el contexto del resto de los hechos que se manifiestan en el caso concreto.</w:t>
      </w:r>
    </w:p>
    <w:p w14:paraId="4F763EF2" w14:textId="77777777" w:rsidR="0040481B" w:rsidRPr="0040481B" w:rsidRDefault="0040481B" w:rsidP="0040481B">
      <w:pPr>
        <w:spacing w:line="360" w:lineRule="auto"/>
        <w:ind w:right="49"/>
        <w:jc w:val="both"/>
        <w:rPr>
          <w:rFonts w:ascii="Arial" w:hAnsi="Arial" w:cs="Arial"/>
        </w:rPr>
      </w:pPr>
    </w:p>
    <w:p w14:paraId="0659A4BB" w14:textId="351D3C84" w:rsidR="0040481B" w:rsidRPr="0040481B" w:rsidRDefault="0040481B" w:rsidP="0040481B">
      <w:pPr>
        <w:spacing w:line="360" w:lineRule="auto"/>
        <w:ind w:right="49"/>
        <w:jc w:val="both"/>
        <w:rPr>
          <w:rFonts w:ascii="Arial" w:hAnsi="Arial" w:cs="Arial"/>
        </w:rPr>
      </w:pPr>
      <w:r w:rsidRPr="0040481B">
        <w:rPr>
          <w:rFonts w:ascii="Arial" w:hAnsi="Arial" w:cs="Arial"/>
        </w:rPr>
        <w:t xml:space="preserve">De este modo, el dicho de la víctima </w:t>
      </w:r>
      <w:r w:rsidR="00F91D93">
        <w:rPr>
          <w:rFonts w:ascii="Arial" w:hAnsi="Arial" w:cs="Arial"/>
        </w:rPr>
        <w:t>tiene</w:t>
      </w:r>
      <w:r w:rsidRPr="0040481B">
        <w:rPr>
          <w:rFonts w:ascii="Arial" w:hAnsi="Arial" w:cs="Arial"/>
        </w:rPr>
        <w:t xml:space="preserve"> preponderancia </w:t>
      </w:r>
      <w:r w:rsidR="00F91D93">
        <w:rPr>
          <w:rFonts w:ascii="Arial" w:hAnsi="Arial" w:cs="Arial"/>
        </w:rPr>
        <w:t xml:space="preserve">respecto de lo narrado por </w:t>
      </w:r>
      <w:r w:rsidR="00CD6434">
        <w:rPr>
          <w:rFonts w:ascii="Arial" w:hAnsi="Arial" w:cs="Arial"/>
        </w:rPr>
        <w:t xml:space="preserve">la persona </w:t>
      </w:r>
      <w:r w:rsidR="00F91D93">
        <w:rPr>
          <w:rFonts w:ascii="Arial" w:hAnsi="Arial" w:cs="Arial"/>
        </w:rPr>
        <w:t>demandad</w:t>
      </w:r>
      <w:r w:rsidR="00CD6434">
        <w:rPr>
          <w:rFonts w:ascii="Arial" w:hAnsi="Arial" w:cs="Arial"/>
        </w:rPr>
        <w:t>a</w:t>
      </w:r>
      <w:r w:rsidR="00F91D93">
        <w:rPr>
          <w:rFonts w:ascii="Arial" w:hAnsi="Arial" w:cs="Arial"/>
        </w:rPr>
        <w:t>, sobre todo si est</w:t>
      </w:r>
      <w:r w:rsidR="00CD6434">
        <w:rPr>
          <w:rFonts w:ascii="Arial" w:hAnsi="Arial" w:cs="Arial"/>
        </w:rPr>
        <w:t>a</w:t>
      </w:r>
      <w:r w:rsidR="00F91D93">
        <w:rPr>
          <w:rFonts w:ascii="Arial" w:hAnsi="Arial" w:cs="Arial"/>
        </w:rPr>
        <w:t xml:space="preserve"> últim</w:t>
      </w:r>
      <w:r w:rsidR="00CD6434">
        <w:rPr>
          <w:rFonts w:ascii="Arial" w:hAnsi="Arial" w:cs="Arial"/>
        </w:rPr>
        <w:t>a</w:t>
      </w:r>
      <w:r w:rsidR="00F91D93">
        <w:rPr>
          <w:rFonts w:ascii="Arial" w:hAnsi="Arial" w:cs="Arial"/>
        </w:rPr>
        <w:t xml:space="preserve"> no aporta las pruebas necesarias para desacreditar su imputación. Ello, </w:t>
      </w:r>
      <w:r w:rsidRPr="0040481B">
        <w:rPr>
          <w:rFonts w:ascii="Arial" w:hAnsi="Arial" w:cs="Arial"/>
        </w:rPr>
        <w:t xml:space="preserve">permite agotar todas las líneas de investigación posibles que conduzcan al esclarecimiento de los hechos denunciados, </w:t>
      </w:r>
      <w:r w:rsidR="005F2D97">
        <w:rPr>
          <w:rFonts w:ascii="Arial" w:hAnsi="Arial" w:cs="Arial"/>
        </w:rPr>
        <w:t>y esto,</w:t>
      </w:r>
      <w:r w:rsidRPr="0040481B">
        <w:rPr>
          <w:rFonts w:ascii="Arial" w:hAnsi="Arial" w:cs="Arial"/>
        </w:rPr>
        <w:t xml:space="preserve"> resulta consistente con el estándar reforzado</w:t>
      </w:r>
      <w:r w:rsidR="005F2D97">
        <w:rPr>
          <w:rFonts w:ascii="Arial" w:hAnsi="Arial" w:cs="Arial"/>
        </w:rPr>
        <w:t xml:space="preserve"> del valor probatorio en los casos de violencia política por razón de género.</w:t>
      </w:r>
    </w:p>
    <w:p w14:paraId="1CAFC4FC" w14:textId="77777777" w:rsidR="0040481B" w:rsidRPr="0040481B" w:rsidRDefault="0040481B" w:rsidP="0040481B">
      <w:pPr>
        <w:spacing w:line="360" w:lineRule="auto"/>
        <w:ind w:right="49"/>
        <w:jc w:val="both"/>
        <w:rPr>
          <w:rFonts w:ascii="Arial" w:hAnsi="Arial" w:cs="Arial"/>
        </w:rPr>
      </w:pPr>
    </w:p>
    <w:p w14:paraId="71D0C37B" w14:textId="29E8581A" w:rsidR="0040481B" w:rsidRDefault="0040481B" w:rsidP="0040481B">
      <w:pPr>
        <w:spacing w:line="360" w:lineRule="auto"/>
        <w:ind w:right="49"/>
        <w:jc w:val="both"/>
        <w:rPr>
          <w:rFonts w:ascii="Arial" w:hAnsi="Arial" w:cs="Arial"/>
        </w:rPr>
      </w:pPr>
      <w:r w:rsidRPr="0040481B">
        <w:rPr>
          <w:rFonts w:ascii="Arial" w:hAnsi="Arial" w:cs="Arial"/>
        </w:rPr>
        <w:t>En ese sentido debe ser el infractor, quien puede encontrarse generalmente</w:t>
      </w:r>
      <w:r w:rsidR="005F2D97">
        <w:rPr>
          <w:rStyle w:val="Refdenotaalpie"/>
          <w:rFonts w:ascii="Arial" w:hAnsi="Arial" w:cs="Arial"/>
        </w:rPr>
        <w:footnoteReference w:id="6"/>
      </w:r>
      <w:r w:rsidRPr="0040481B">
        <w:rPr>
          <w:rFonts w:ascii="Arial" w:hAnsi="Arial" w:cs="Arial"/>
        </w:rPr>
        <w:t xml:space="preserve"> en las mejores circunstancias para probar los hechos narrados por la víctima respecto de actos que configuren </w:t>
      </w:r>
      <w:r w:rsidR="005F2D97">
        <w:rPr>
          <w:rFonts w:ascii="Arial" w:hAnsi="Arial" w:cs="Arial"/>
        </w:rPr>
        <w:t xml:space="preserve">esa violencia. </w:t>
      </w:r>
      <w:r w:rsidRPr="0040481B">
        <w:rPr>
          <w:rFonts w:ascii="Arial" w:hAnsi="Arial" w:cs="Arial"/>
        </w:rPr>
        <w:t xml:space="preserve"> </w:t>
      </w:r>
    </w:p>
    <w:p w14:paraId="6D14DD0A" w14:textId="77777777" w:rsidR="0040481B" w:rsidRPr="0040481B" w:rsidRDefault="0040481B" w:rsidP="0040481B">
      <w:pPr>
        <w:spacing w:line="360" w:lineRule="auto"/>
        <w:ind w:right="49"/>
        <w:jc w:val="both"/>
        <w:rPr>
          <w:rFonts w:ascii="Arial" w:hAnsi="Arial" w:cs="Arial"/>
        </w:rPr>
      </w:pPr>
    </w:p>
    <w:p w14:paraId="70E82B0F" w14:textId="5BA7FE44" w:rsidR="0040481B" w:rsidRDefault="0040481B" w:rsidP="0040481B">
      <w:pPr>
        <w:spacing w:line="360" w:lineRule="auto"/>
        <w:ind w:right="49"/>
        <w:jc w:val="both"/>
        <w:rPr>
          <w:rFonts w:ascii="Arial" w:hAnsi="Arial" w:cs="Arial"/>
        </w:rPr>
      </w:pPr>
      <w:r w:rsidRPr="0040481B">
        <w:rPr>
          <w:rFonts w:ascii="Arial" w:hAnsi="Arial" w:cs="Arial"/>
        </w:rPr>
        <w:t xml:space="preserve">Ahora bien, </w:t>
      </w:r>
      <w:r w:rsidR="005F2D97">
        <w:rPr>
          <w:rFonts w:ascii="Arial" w:hAnsi="Arial" w:cs="Arial"/>
        </w:rPr>
        <w:t>la</w:t>
      </w:r>
      <w:r w:rsidRPr="0040481B">
        <w:rPr>
          <w:rFonts w:ascii="Arial" w:hAnsi="Arial" w:cs="Arial"/>
        </w:rPr>
        <w:t xml:space="preserve"> decisión de la reversión de carga de la prueba no es distinta a lo que sucede en otras materias del derecho como la laboral o penal, es decir, en la configuración de otras acciones discriminatorias de derechos humanos, como lo es respecto del acoso laboral o </w:t>
      </w:r>
      <w:proofErr w:type="spellStart"/>
      <w:proofErr w:type="gramStart"/>
      <w:r w:rsidRPr="005F2D97">
        <w:rPr>
          <w:rFonts w:ascii="Arial" w:hAnsi="Arial" w:cs="Arial"/>
          <w:i/>
          <w:iCs/>
        </w:rPr>
        <w:t>mobbing</w:t>
      </w:r>
      <w:proofErr w:type="spellEnd"/>
      <w:proofErr w:type="gramEnd"/>
      <w:r w:rsidRPr="0040481B">
        <w:rPr>
          <w:rFonts w:ascii="Arial" w:hAnsi="Arial" w:cs="Arial"/>
        </w:rPr>
        <w:t>, los   casos de violencia sexual, los despidos injustificados en razón del género o porque la persona se encuentre en una situación de desventaja.</w:t>
      </w:r>
    </w:p>
    <w:p w14:paraId="00EA8423" w14:textId="77777777" w:rsidR="0040481B" w:rsidRPr="0040481B" w:rsidRDefault="0040481B" w:rsidP="0040481B">
      <w:pPr>
        <w:spacing w:line="360" w:lineRule="auto"/>
        <w:ind w:right="49"/>
        <w:jc w:val="both"/>
        <w:rPr>
          <w:rFonts w:ascii="Arial" w:hAnsi="Arial" w:cs="Arial"/>
        </w:rPr>
      </w:pPr>
    </w:p>
    <w:p w14:paraId="15C8D583" w14:textId="710F7BA2" w:rsidR="0040481B" w:rsidRPr="0040481B" w:rsidRDefault="005F2D97" w:rsidP="0040481B">
      <w:pPr>
        <w:spacing w:line="360" w:lineRule="auto"/>
        <w:ind w:right="49"/>
        <w:jc w:val="both"/>
        <w:rPr>
          <w:rFonts w:ascii="Arial" w:hAnsi="Arial" w:cs="Arial"/>
        </w:rPr>
      </w:pPr>
      <w:r>
        <w:rPr>
          <w:rFonts w:ascii="Arial" w:hAnsi="Arial" w:cs="Arial"/>
        </w:rPr>
        <w:t>De igual forma,</w:t>
      </w:r>
      <w:r w:rsidR="0040481B" w:rsidRPr="0040481B">
        <w:rPr>
          <w:rFonts w:ascii="Arial" w:hAnsi="Arial" w:cs="Arial"/>
        </w:rPr>
        <w:t xml:space="preserve"> la judicatura federal ha establecido diversos criterios en los que se establece que debe operar la reversión de la carga de la prueba, bajo el argumento de que, en los casos laborales en atención al principio de “facilidad probatoria” deben evitarse cualquier situación de discriminación que pudieran sufrir, en el caso de adulto mayor, habida cuenta que un ambiente de trabajo libre de violencia y discriminación constituye un aspecto de interés social</w:t>
      </w:r>
      <w:r w:rsidR="00C50EEA">
        <w:rPr>
          <w:rFonts w:ascii="Arial" w:hAnsi="Arial" w:cs="Arial"/>
        </w:rPr>
        <w:t xml:space="preserve"> (</w:t>
      </w:r>
      <w:r w:rsidR="00C50EEA" w:rsidRPr="005F2D97">
        <w:rPr>
          <w:rFonts w:ascii="Arial" w:hAnsi="Arial" w:cs="Arial"/>
        </w:rPr>
        <w:t>Tesis</w:t>
      </w:r>
      <w:r w:rsidR="00C50EEA">
        <w:rPr>
          <w:rFonts w:ascii="Arial" w:hAnsi="Arial" w:cs="Arial"/>
        </w:rPr>
        <w:t xml:space="preserve"> </w:t>
      </w:r>
      <w:r w:rsidR="00C50EEA" w:rsidRPr="005F2D97">
        <w:rPr>
          <w:rFonts w:ascii="Arial" w:hAnsi="Arial" w:cs="Arial"/>
        </w:rPr>
        <w:t>XVII.2o.C.T.</w:t>
      </w:r>
      <w:r w:rsidR="00C50EEA">
        <w:rPr>
          <w:rFonts w:ascii="Arial" w:hAnsi="Arial" w:cs="Arial"/>
        </w:rPr>
        <w:t>18 L /2020).</w:t>
      </w:r>
    </w:p>
    <w:p w14:paraId="54B3CE31" w14:textId="77777777" w:rsidR="0040481B" w:rsidRPr="0040481B" w:rsidRDefault="0040481B" w:rsidP="0040481B">
      <w:pPr>
        <w:spacing w:line="360" w:lineRule="auto"/>
        <w:ind w:right="49"/>
        <w:jc w:val="both"/>
        <w:rPr>
          <w:rFonts w:ascii="Arial" w:hAnsi="Arial" w:cs="Arial"/>
        </w:rPr>
      </w:pPr>
    </w:p>
    <w:p w14:paraId="10FA1235" w14:textId="5D210CC7" w:rsidR="0040481B" w:rsidRDefault="005F2D97" w:rsidP="0040481B">
      <w:pPr>
        <w:spacing w:line="360" w:lineRule="auto"/>
        <w:ind w:right="49"/>
        <w:jc w:val="both"/>
        <w:rPr>
          <w:rFonts w:ascii="Arial" w:hAnsi="Arial" w:cs="Arial"/>
        </w:rPr>
      </w:pPr>
      <w:r>
        <w:rPr>
          <w:rFonts w:ascii="Arial" w:hAnsi="Arial" w:cs="Arial"/>
        </w:rPr>
        <w:t>Igualmente</w:t>
      </w:r>
      <w:r w:rsidR="0040481B" w:rsidRPr="0040481B">
        <w:rPr>
          <w:rFonts w:ascii="Arial" w:hAnsi="Arial" w:cs="Arial"/>
        </w:rPr>
        <w:t xml:space="preserve"> se ha establecido que, en los casos de la situación en que se encuentran las personas privadas de su libertad cuando alegan tortura psicológica, el Estado está obligado desvirtuar lo dicho por esa persona en reclusión</w:t>
      </w:r>
      <w:r w:rsidR="00C50EEA">
        <w:rPr>
          <w:rFonts w:ascii="Arial" w:hAnsi="Arial" w:cs="Arial"/>
        </w:rPr>
        <w:t xml:space="preserve"> (</w:t>
      </w:r>
      <w:r w:rsidR="00C50EEA" w:rsidRPr="005F2D97">
        <w:rPr>
          <w:rFonts w:ascii="Arial" w:hAnsi="Arial" w:cs="Arial"/>
          <w:bCs/>
        </w:rPr>
        <w:t>Tesis aislada XXII.P.A.70 P</w:t>
      </w:r>
      <w:r w:rsidR="00C50EEA">
        <w:rPr>
          <w:rFonts w:ascii="Arial" w:hAnsi="Arial" w:cs="Arial"/>
          <w:bCs/>
        </w:rPr>
        <w:t>/).</w:t>
      </w:r>
    </w:p>
    <w:p w14:paraId="735F88DB" w14:textId="77777777" w:rsidR="0040481B" w:rsidRPr="0040481B" w:rsidRDefault="0040481B" w:rsidP="0040481B">
      <w:pPr>
        <w:spacing w:line="360" w:lineRule="auto"/>
        <w:ind w:right="49"/>
        <w:jc w:val="both"/>
        <w:rPr>
          <w:rFonts w:ascii="Arial" w:hAnsi="Arial" w:cs="Arial"/>
        </w:rPr>
      </w:pPr>
    </w:p>
    <w:p w14:paraId="64993E03" w14:textId="749E8BD4" w:rsidR="0040481B" w:rsidRDefault="0040481B" w:rsidP="0040481B">
      <w:pPr>
        <w:spacing w:line="360" w:lineRule="auto"/>
        <w:ind w:right="49"/>
        <w:jc w:val="both"/>
        <w:rPr>
          <w:rFonts w:ascii="Arial" w:hAnsi="Arial" w:cs="Arial"/>
        </w:rPr>
      </w:pPr>
      <w:r w:rsidRPr="0040481B">
        <w:rPr>
          <w:rFonts w:ascii="Arial" w:hAnsi="Arial" w:cs="Arial"/>
        </w:rPr>
        <w:t xml:space="preserve">Asimismo, en los casos de despido de trabajadoras de confianza al servicio del Estado por motivo de su embarazo, la Judicatura señala </w:t>
      </w:r>
      <w:r w:rsidR="006F40B9" w:rsidRPr="0040481B">
        <w:rPr>
          <w:rFonts w:ascii="Arial" w:hAnsi="Arial" w:cs="Arial"/>
        </w:rPr>
        <w:t>que,</w:t>
      </w:r>
      <w:r w:rsidRPr="0040481B">
        <w:rPr>
          <w:rFonts w:ascii="Arial" w:hAnsi="Arial" w:cs="Arial"/>
        </w:rPr>
        <w:t xml:space="preserve"> conforme al criterio de juzgar con perspectiva de género, y porque se trata de actuaciones discriminatorias por razón de género, corresponderá a</w:t>
      </w:r>
      <w:r w:rsidR="00CD6434">
        <w:rPr>
          <w:rFonts w:ascii="Arial" w:hAnsi="Arial" w:cs="Arial"/>
        </w:rPr>
        <w:t xml:space="preserve"> la persona </w:t>
      </w:r>
      <w:r w:rsidRPr="0040481B">
        <w:rPr>
          <w:rFonts w:ascii="Arial" w:hAnsi="Arial" w:cs="Arial"/>
        </w:rPr>
        <w:t>demandad</w:t>
      </w:r>
      <w:r w:rsidR="00CD6434">
        <w:rPr>
          <w:rFonts w:ascii="Arial" w:hAnsi="Arial" w:cs="Arial"/>
        </w:rPr>
        <w:t>a</w:t>
      </w:r>
      <w:r w:rsidRPr="0040481B">
        <w:rPr>
          <w:rFonts w:ascii="Arial" w:hAnsi="Arial" w:cs="Arial"/>
        </w:rPr>
        <w:t xml:space="preserve"> probar la ausencia de discriminación</w:t>
      </w:r>
      <w:r w:rsidR="00C50EEA">
        <w:rPr>
          <w:rFonts w:ascii="Arial" w:hAnsi="Arial" w:cs="Arial"/>
        </w:rPr>
        <w:t xml:space="preserve"> (</w:t>
      </w:r>
      <w:r w:rsidR="00C50EEA" w:rsidRPr="005F2D97">
        <w:rPr>
          <w:rFonts w:ascii="Arial" w:hAnsi="Arial" w:cs="Arial"/>
          <w:bCs/>
        </w:rPr>
        <w:t>Tesis aislada (laboral) I.16o.T.54 L</w:t>
      </w:r>
      <w:r w:rsidR="00C50EEA">
        <w:rPr>
          <w:rFonts w:ascii="Arial" w:hAnsi="Arial" w:cs="Arial"/>
          <w:bCs/>
        </w:rPr>
        <w:t>/)</w:t>
      </w:r>
      <w:r w:rsidR="00C50EEA">
        <w:rPr>
          <w:rFonts w:ascii="Arial" w:hAnsi="Arial" w:cs="Arial"/>
        </w:rPr>
        <w:t>.</w:t>
      </w:r>
      <w:r w:rsidRPr="0040481B">
        <w:rPr>
          <w:rFonts w:ascii="Arial" w:hAnsi="Arial" w:cs="Arial"/>
        </w:rPr>
        <w:t xml:space="preserve"> </w:t>
      </w:r>
    </w:p>
    <w:p w14:paraId="5E1935C2" w14:textId="77777777" w:rsidR="0040481B" w:rsidRPr="0040481B" w:rsidRDefault="0040481B" w:rsidP="0040481B">
      <w:pPr>
        <w:spacing w:line="360" w:lineRule="auto"/>
        <w:ind w:right="49"/>
        <w:jc w:val="both"/>
        <w:rPr>
          <w:rFonts w:ascii="Arial" w:hAnsi="Arial" w:cs="Arial"/>
        </w:rPr>
      </w:pPr>
    </w:p>
    <w:p w14:paraId="65ECF339" w14:textId="08302D8B" w:rsidR="0040481B" w:rsidRDefault="0040481B" w:rsidP="0040481B">
      <w:pPr>
        <w:spacing w:line="360" w:lineRule="auto"/>
        <w:ind w:right="49"/>
        <w:jc w:val="both"/>
        <w:rPr>
          <w:rFonts w:ascii="Arial" w:hAnsi="Arial" w:cs="Arial"/>
        </w:rPr>
      </w:pPr>
      <w:r w:rsidRPr="0040481B">
        <w:rPr>
          <w:rFonts w:ascii="Arial" w:hAnsi="Arial" w:cs="Arial"/>
        </w:rPr>
        <w:t xml:space="preserve">En los criterios anteriores está de por medio el reclamo de una violación a un derecho humano protegido en el artículo primero, párrafo quinto del Constitucional federal, por ello el principio de carga de la prueba respecto de que “quien afirma está obligado a probar, debe ponderarse de otra manera, pues en un caso de discriminación, para la aplicación efectiva del principio de igualdad de trato, la carga de la prueba debe recaer en la parte demandada, cuando se aporten indicios de la existencia de esa discriminación. </w:t>
      </w:r>
    </w:p>
    <w:p w14:paraId="3B4FEDB6" w14:textId="77777777" w:rsidR="0040481B" w:rsidRPr="0040481B" w:rsidRDefault="0040481B" w:rsidP="0040481B">
      <w:pPr>
        <w:spacing w:line="360" w:lineRule="auto"/>
        <w:ind w:right="49"/>
        <w:jc w:val="both"/>
        <w:rPr>
          <w:rFonts w:ascii="Arial" w:hAnsi="Arial" w:cs="Arial"/>
        </w:rPr>
      </w:pPr>
    </w:p>
    <w:p w14:paraId="522D56CA" w14:textId="4FA615F5" w:rsidR="0040481B" w:rsidRDefault="0040481B" w:rsidP="0040481B">
      <w:pPr>
        <w:spacing w:line="360" w:lineRule="auto"/>
        <w:ind w:right="49"/>
        <w:jc w:val="both"/>
        <w:rPr>
          <w:rFonts w:ascii="Arial" w:hAnsi="Arial" w:cs="Arial"/>
        </w:rPr>
      </w:pPr>
      <w:r w:rsidRPr="0040481B">
        <w:rPr>
          <w:rFonts w:ascii="Arial" w:hAnsi="Arial" w:cs="Arial"/>
        </w:rPr>
        <w:t xml:space="preserve">Ese razonamiento se refuerza con criterios emitidos por la </w:t>
      </w:r>
      <w:proofErr w:type="spellStart"/>
      <w:r w:rsidR="00CD6434">
        <w:rPr>
          <w:rFonts w:ascii="Arial" w:hAnsi="Arial" w:cs="Arial"/>
        </w:rPr>
        <w:t>CoIDH</w:t>
      </w:r>
      <w:proofErr w:type="spellEnd"/>
      <w:r w:rsidRPr="0040481B">
        <w:rPr>
          <w:rFonts w:ascii="Arial" w:hAnsi="Arial" w:cs="Arial"/>
        </w:rPr>
        <w:t xml:space="preserve">, órgano que desarrolló el concepto de “discriminación estructural” y señaló que la carga de la prueba la tiene el Estado cuando las víctimas pertenecen a un grupo </w:t>
      </w:r>
      <w:r w:rsidRPr="0040481B">
        <w:rPr>
          <w:rFonts w:ascii="Arial" w:hAnsi="Arial" w:cs="Arial"/>
        </w:rPr>
        <w:lastRenderedPageBreak/>
        <w:t>estructuralmente desaventajado, porque se origina una dificultad probatoria para ellas ante la complejidad de probar las políticas y prácticas discriminatorias de facto o de jure, ya sean intencionales o no, también llamada la discriminación indirecta</w:t>
      </w:r>
      <w:r w:rsidR="00C50EEA">
        <w:rPr>
          <w:rFonts w:ascii="Arial" w:hAnsi="Arial" w:cs="Arial"/>
        </w:rPr>
        <w:t xml:space="preserve"> (</w:t>
      </w:r>
      <w:proofErr w:type="spellStart"/>
      <w:r w:rsidR="00C50EEA" w:rsidRPr="005F2D97">
        <w:rPr>
          <w:rFonts w:ascii="Arial" w:hAnsi="Arial" w:cs="Arial"/>
        </w:rPr>
        <w:t>Nadege</w:t>
      </w:r>
      <w:proofErr w:type="spellEnd"/>
      <w:r w:rsidR="00C50EEA" w:rsidRPr="005F2D97">
        <w:rPr>
          <w:rFonts w:ascii="Arial" w:hAnsi="Arial" w:cs="Arial"/>
        </w:rPr>
        <w:t xml:space="preserve"> </w:t>
      </w:r>
      <w:proofErr w:type="spellStart"/>
      <w:r w:rsidR="00C50EEA" w:rsidRPr="005F2D97">
        <w:rPr>
          <w:rFonts w:ascii="Arial" w:hAnsi="Arial" w:cs="Arial"/>
        </w:rPr>
        <w:t>Dorzema</w:t>
      </w:r>
      <w:proofErr w:type="spellEnd"/>
      <w:r w:rsidR="00C50EEA" w:rsidRPr="005F2D97">
        <w:rPr>
          <w:rFonts w:ascii="Arial" w:hAnsi="Arial" w:cs="Arial"/>
        </w:rPr>
        <w:t xml:space="preserve"> y otros v</w:t>
      </w:r>
      <w:r w:rsidR="00C50EEA">
        <w:rPr>
          <w:rFonts w:ascii="Arial" w:hAnsi="Arial" w:cs="Arial"/>
        </w:rPr>
        <w:t>s</w:t>
      </w:r>
      <w:r w:rsidR="00C50EEA" w:rsidRPr="005F2D97">
        <w:rPr>
          <w:rFonts w:ascii="Arial" w:hAnsi="Arial" w:cs="Arial"/>
        </w:rPr>
        <w:t xml:space="preserve"> República Dominicana 2012, párr</w:t>
      </w:r>
      <w:r w:rsidR="00C50EEA">
        <w:rPr>
          <w:rFonts w:ascii="Arial" w:hAnsi="Arial" w:cs="Arial"/>
        </w:rPr>
        <w:t>afos</w:t>
      </w:r>
      <w:r w:rsidR="00C50EEA" w:rsidRPr="005F2D97">
        <w:rPr>
          <w:rFonts w:ascii="Arial" w:hAnsi="Arial" w:cs="Arial"/>
        </w:rPr>
        <w:t xml:space="preserve"> 40, 228, 228-238</w:t>
      </w:r>
      <w:r w:rsidR="00C50EEA">
        <w:rPr>
          <w:rFonts w:ascii="Arial" w:hAnsi="Arial" w:cs="Arial"/>
        </w:rPr>
        <w:t xml:space="preserve">; y </w:t>
      </w:r>
      <w:r w:rsidR="00C50EEA" w:rsidRPr="005F2D97">
        <w:rPr>
          <w:rFonts w:ascii="Arial" w:hAnsi="Arial" w:cs="Arial"/>
        </w:rPr>
        <w:t>Átala Riffo y Niñas v</w:t>
      </w:r>
      <w:r w:rsidR="00C50EEA">
        <w:rPr>
          <w:rFonts w:ascii="Arial" w:hAnsi="Arial" w:cs="Arial"/>
        </w:rPr>
        <w:t>s</w:t>
      </w:r>
      <w:r w:rsidR="00C50EEA" w:rsidRPr="005F2D97">
        <w:rPr>
          <w:rFonts w:ascii="Arial" w:hAnsi="Arial" w:cs="Arial"/>
        </w:rPr>
        <w:t>. Chile</w:t>
      </w:r>
      <w:r w:rsidR="00A86B4B">
        <w:rPr>
          <w:rFonts w:ascii="Arial" w:hAnsi="Arial" w:cs="Arial"/>
        </w:rPr>
        <w:t xml:space="preserve"> 2012</w:t>
      </w:r>
      <w:r w:rsidR="00C50EEA" w:rsidRPr="005F2D97">
        <w:rPr>
          <w:rFonts w:ascii="Arial" w:hAnsi="Arial" w:cs="Arial"/>
        </w:rPr>
        <w:t>, p</w:t>
      </w:r>
      <w:r w:rsidR="00C50EEA">
        <w:rPr>
          <w:rFonts w:ascii="Arial" w:hAnsi="Arial" w:cs="Arial"/>
        </w:rPr>
        <w:t>árrafos</w:t>
      </w:r>
      <w:r w:rsidR="00C50EEA" w:rsidRPr="005F2D97">
        <w:rPr>
          <w:rFonts w:ascii="Arial" w:hAnsi="Arial" w:cs="Arial"/>
        </w:rPr>
        <w:t xml:space="preserve"> 221 y 222</w:t>
      </w:r>
      <w:r w:rsidR="00C50EEA">
        <w:rPr>
          <w:rFonts w:ascii="Arial" w:hAnsi="Arial" w:cs="Arial"/>
        </w:rPr>
        <w:t>)</w:t>
      </w:r>
      <w:r w:rsidR="00A86B4B">
        <w:rPr>
          <w:rFonts w:ascii="Arial" w:hAnsi="Arial" w:cs="Arial"/>
        </w:rPr>
        <w:t>.</w:t>
      </w:r>
      <w:r w:rsidR="005F2D97">
        <w:rPr>
          <w:rStyle w:val="Refdenotaalpie"/>
          <w:rFonts w:ascii="Arial" w:hAnsi="Arial" w:cs="Arial"/>
        </w:rPr>
        <w:footnoteReference w:id="7"/>
      </w:r>
      <w:r w:rsidRPr="0040481B">
        <w:rPr>
          <w:rFonts w:ascii="Arial" w:hAnsi="Arial" w:cs="Arial"/>
        </w:rPr>
        <w:t xml:space="preserve"> </w:t>
      </w:r>
    </w:p>
    <w:p w14:paraId="148E2315" w14:textId="2BE49A99" w:rsidR="002F5FE5" w:rsidRDefault="002F5FE5" w:rsidP="0040481B">
      <w:pPr>
        <w:spacing w:line="360" w:lineRule="auto"/>
        <w:ind w:right="49"/>
        <w:jc w:val="both"/>
        <w:rPr>
          <w:rFonts w:ascii="Arial" w:hAnsi="Arial" w:cs="Arial"/>
        </w:rPr>
      </w:pPr>
    </w:p>
    <w:p w14:paraId="4596799F" w14:textId="2C615B84" w:rsidR="00347B16" w:rsidRDefault="00CD6434" w:rsidP="002F5FE5">
      <w:pPr>
        <w:spacing w:line="360" w:lineRule="auto"/>
        <w:jc w:val="both"/>
        <w:rPr>
          <w:rFonts w:ascii="Arial" w:hAnsi="Arial" w:cs="Arial"/>
        </w:rPr>
      </w:pPr>
      <w:r>
        <w:rPr>
          <w:rFonts w:ascii="Arial" w:hAnsi="Arial" w:cs="Arial"/>
        </w:rPr>
        <w:t xml:space="preserve">Esa Corte </w:t>
      </w:r>
      <w:r w:rsidR="001468D8" w:rsidRPr="001468D8">
        <w:rPr>
          <w:rFonts w:ascii="Arial" w:hAnsi="Arial" w:cs="Arial"/>
        </w:rPr>
        <w:t xml:space="preserve">al </w:t>
      </w:r>
      <w:r w:rsidR="002F5FE5" w:rsidRPr="001468D8">
        <w:rPr>
          <w:rFonts w:ascii="Arial" w:hAnsi="Arial" w:cs="Arial"/>
        </w:rPr>
        <w:t>reconoce</w:t>
      </w:r>
      <w:r w:rsidR="001468D8" w:rsidRPr="001468D8">
        <w:rPr>
          <w:rFonts w:ascii="Arial" w:hAnsi="Arial" w:cs="Arial"/>
        </w:rPr>
        <w:t>r</w:t>
      </w:r>
      <w:r w:rsidR="002F5FE5" w:rsidRPr="001468D8">
        <w:rPr>
          <w:rFonts w:ascii="Arial" w:hAnsi="Arial" w:cs="Arial"/>
        </w:rPr>
        <w:t xml:space="preserve"> la discriminación indirecta</w:t>
      </w:r>
      <w:r w:rsidR="002F5FE5" w:rsidRPr="001468D8">
        <w:rPr>
          <w:rStyle w:val="Refdenotaalpie"/>
          <w:rFonts w:ascii="Arial" w:hAnsi="Arial" w:cs="Arial"/>
        </w:rPr>
        <w:footnoteReference w:id="8"/>
      </w:r>
      <w:r w:rsidR="002F5FE5" w:rsidRPr="001468D8">
        <w:rPr>
          <w:rFonts w:ascii="Arial" w:hAnsi="Arial" w:cs="Arial"/>
        </w:rPr>
        <w:t xml:space="preserve"> </w:t>
      </w:r>
      <w:r w:rsidR="001468D8" w:rsidRPr="001468D8">
        <w:rPr>
          <w:rFonts w:ascii="Arial" w:hAnsi="Arial" w:cs="Arial"/>
        </w:rPr>
        <w:t xml:space="preserve">señala </w:t>
      </w:r>
      <w:r w:rsidR="002F5FE5" w:rsidRPr="001468D8">
        <w:rPr>
          <w:rFonts w:ascii="Arial" w:hAnsi="Arial" w:cs="Arial"/>
        </w:rPr>
        <w:t>que implica que una norma o práctica aparentemente neutra, tiene repercusiones negativas en una persona o grupo con características determinadas. Es posible que quien estableció la norma o práctica no sea consciente de esos efectos y, en tal caso, la intención de discriminar no es lo esencial y procede la inversión de la carga de la prueb</w:t>
      </w:r>
      <w:r w:rsidR="00A86B4B">
        <w:rPr>
          <w:rFonts w:ascii="Arial" w:hAnsi="Arial" w:cs="Arial"/>
        </w:rPr>
        <w:t>a (</w:t>
      </w:r>
      <w:r w:rsidR="00A86B4B" w:rsidRPr="005F2D97">
        <w:rPr>
          <w:rFonts w:ascii="Arial" w:hAnsi="Arial" w:cs="Arial"/>
        </w:rPr>
        <w:t xml:space="preserve">Artavia Murillo y otros </w:t>
      </w:r>
      <w:r w:rsidR="00A86B4B">
        <w:rPr>
          <w:rFonts w:ascii="Arial" w:hAnsi="Arial" w:cs="Arial"/>
        </w:rPr>
        <w:t>v</w:t>
      </w:r>
      <w:r w:rsidR="00A86B4B" w:rsidRPr="005F2D97">
        <w:rPr>
          <w:rFonts w:ascii="Arial" w:hAnsi="Arial" w:cs="Arial"/>
        </w:rPr>
        <w:t>s. Costa Rica</w:t>
      </w:r>
      <w:r w:rsidR="00A86B4B">
        <w:rPr>
          <w:rFonts w:ascii="Arial" w:hAnsi="Arial" w:cs="Arial"/>
        </w:rPr>
        <w:t xml:space="preserve"> </w:t>
      </w:r>
      <w:r w:rsidR="00A86B4B" w:rsidRPr="005F2D97">
        <w:rPr>
          <w:rFonts w:ascii="Arial" w:hAnsi="Arial" w:cs="Arial"/>
        </w:rPr>
        <w:t>2012, párrafo 286</w:t>
      </w:r>
      <w:r w:rsidR="00A86B4B">
        <w:rPr>
          <w:rFonts w:ascii="Arial" w:hAnsi="Arial" w:cs="Arial"/>
        </w:rPr>
        <w:t>).</w:t>
      </w:r>
    </w:p>
    <w:p w14:paraId="4C737126" w14:textId="03C8AE3A" w:rsidR="00105F3A" w:rsidRDefault="00105F3A" w:rsidP="002F5FE5">
      <w:pPr>
        <w:spacing w:line="360" w:lineRule="auto"/>
        <w:jc w:val="both"/>
        <w:rPr>
          <w:rFonts w:ascii="Arial" w:hAnsi="Arial" w:cs="Arial"/>
        </w:rPr>
      </w:pPr>
    </w:p>
    <w:p w14:paraId="125857F0" w14:textId="40B31136" w:rsidR="00105F3A" w:rsidRPr="0040481B" w:rsidRDefault="00105F3A" w:rsidP="00105F3A">
      <w:pPr>
        <w:spacing w:line="360" w:lineRule="auto"/>
        <w:ind w:right="49"/>
        <w:jc w:val="both"/>
        <w:rPr>
          <w:rFonts w:ascii="Arial" w:hAnsi="Arial" w:cs="Arial"/>
        </w:rPr>
      </w:pPr>
      <w:r w:rsidRPr="00105F3A">
        <w:rPr>
          <w:rFonts w:ascii="Arial" w:hAnsi="Arial" w:cs="Arial"/>
        </w:rPr>
        <w:t xml:space="preserve">En ese tenor, en los casos de violencia política </w:t>
      </w:r>
      <w:proofErr w:type="gramStart"/>
      <w:r w:rsidRPr="00105F3A">
        <w:rPr>
          <w:rFonts w:ascii="Arial" w:hAnsi="Arial" w:cs="Arial"/>
        </w:rPr>
        <w:t>en razón de</w:t>
      </w:r>
      <w:proofErr w:type="gramEnd"/>
      <w:r w:rsidRPr="00105F3A">
        <w:rPr>
          <w:rFonts w:ascii="Arial" w:hAnsi="Arial" w:cs="Arial"/>
        </w:rPr>
        <w:t xml:space="preserve"> género</w:t>
      </w:r>
      <w:r w:rsidR="00CD6434">
        <w:rPr>
          <w:rFonts w:ascii="Arial" w:hAnsi="Arial" w:cs="Arial"/>
        </w:rPr>
        <w:t xml:space="preserve"> al ser </w:t>
      </w:r>
      <w:r w:rsidRPr="00105F3A">
        <w:rPr>
          <w:rFonts w:ascii="Arial" w:hAnsi="Arial" w:cs="Arial"/>
        </w:rPr>
        <w:t>un acto de discriminación, opera la figura de la reversión de la carga de la prueba</w:t>
      </w:r>
      <w:r w:rsidR="00CD6434">
        <w:rPr>
          <w:rFonts w:ascii="Arial" w:hAnsi="Arial" w:cs="Arial"/>
        </w:rPr>
        <w:t xml:space="preserve"> con la finalidad de, </w:t>
      </w:r>
      <w:r w:rsidRPr="00105F3A">
        <w:rPr>
          <w:rFonts w:ascii="Arial" w:hAnsi="Arial" w:cs="Arial"/>
        </w:rPr>
        <w:t>en todo momento</w:t>
      </w:r>
      <w:r w:rsidR="00CD6434">
        <w:rPr>
          <w:rFonts w:ascii="Arial" w:hAnsi="Arial" w:cs="Arial"/>
        </w:rPr>
        <w:t>,</w:t>
      </w:r>
      <w:r w:rsidRPr="00105F3A">
        <w:rPr>
          <w:rFonts w:ascii="Arial" w:hAnsi="Arial" w:cs="Arial"/>
        </w:rPr>
        <w:t xml:space="preserve"> proteger a la posible víctima</w:t>
      </w:r>
      <w:r w:rsidR="00CD6434">
        <w:rPr>
          <w:rFonts w:ascii="Arial" w:hAnsi="Arial" w:cs="Arial"/>
        </w:rPr>
        <w:t xml:space="preserve">. </w:t>
      </w:r>
    </w:p>
    <w:p w14:paraId="618D6F2A" w14:textId="09EE77CD" w:rsidR="00105F3A" w:rsidRDefault="00105F3A" w:rsidP="002F5FE5">
      <w:pPr>
        <w:spacing w:line="360" w:lineRule="auto"/>
        <w:jc w:val="both"/>
        <w:rPr>
          <w:rFonts w:ascii="Arial" w:hAnsi="Arial" w:cs="Arial"/>
        </w:rPr>
      </w:pPr>
    </w:p>
    <w:p w14:paraId="1C76A946" w14:textId="71D55180" w:rsidR="00105F3A" w:rsidRDefault="00105F3A" w:rsidP="002F5FE5">
      <w:pPr>
        <w:spacing w:line="360" w:lineRule="auto"/>
        <w:jc w:val="both"/>
        <w:rPr>
          <w:rFonts w:ascii="Arial" w:hAnsi="Arial" w:cs="Arial"/>
        </w:rPr>
      </w:pPr>
      <w:r>
        <w:rPr>
          <w:rFonts w:ascii="Arial" w:hAnsi="Arial" w:cs="Arial"/>
        </w:rPr>
        <w:t xml:space="preserve">Este mismo criterio además de haberse aplicado por primera vez en el SUP-REC-91/2020, se reiteró en los SUP-REC-164/2020, SUP-REC-185/2020 y en los SUP-REC-133/2020, SUP-REC-102/2020 se integró el elemento de la interculturalidad. </w:t>
      </w:r>
    </w:p>
    <w:p w14:paraId="4B517DF9" w14:textId="105A9BC4" w:rsidR="0040481B" w:rsidRDefault="0040481B" w:rsidP="0040481B">
      <w:pPr>
        <w:spacing w:line="360" w:lineRule="auto"/>
        <w:ind w:right="49"/>
        <w:jc w:val="both"/>
        <w:rPr>
          <w:rFonts w:ascii="Arial" w:hAnsi="Arial" w:cs="Arial"/>
        </w:rPr>
      </w:pPr>
    </w:p>
    <w:p w14:paraId="50A17485" w14:textId="74B81F57" w:rsidR="002F3189" w:rsidRDefault="002F3189" w:rsidP="0040481B">
      <w:pPr>
        <w:spacing w:line="360" w:lineRule="auto"/>
        <w:ind w:right="49"/>
        <w:jc w:val="both"/>
        <w:rPr>
          <w:rFonts w:ascii="Arial" w:hAnsi="Arial" w:cs="Arial"/>
          <w:b/>
          <w:bCs/>
        </w:rPr>
      </w:pPr>
      <w:r w:rsidRPr="002F3189">
        <w:rPr>
          <w:rFonts w:ascii="Arial" w:hAnsi="Arial" w:cs="Arial"/>
          <w:b/>
          <w:bCs/>
        </w:rPr>
        <w:t>V. La reversión de la carga de prueba con perspectiva de género intercultural.</w:t>
      </w:r>
    </w:p>
    <w:p w14:paraId="267F3C0C" w14:textId="77777777" w:rsidR="00CB4EE7" w:rsidRDefault="00CB4EE7" w:rsidP="00CB4EE7">
      <w:pPr>
        <w:spacing w:line="360" w:lineRule="auto"/>
        <w:jc w:val="both"/>
        <w:rPr>
          <w:rFonts w:ascii="Arial" w:hAnsi="Arial" w:cs="Arial"/>
          <w:b/>
          <w:lang w:eastAsia="en-US"/>
        </w:rPr>
      </w:pPr>
    </w:p>
    <w:p w14:paraId="0AC2125F" w14:textId="0F0B8C96" w:rsidR="00347B16" w:rsidRPr="00105F3A" w:rsidRDefault="00105F3A" w:rsidP="00105F3A">
      <w:pPr>
        <w:tabs>
          <w:tab w:val="left" w:pos="7020"/>
        </w:tabs>
        <w:spacing w:line="360" w:lineRule="auto"/>
        <w:jc w:val="both"/>
        <w:rPr>
          <w:rFonts w:ascii="Arial" w:hAnsi="Arial" w:cs="Arial"/>
          <w:szCs w:val="26"/>
        </w:rPr>
      </w:pPr>
      <w:r w:rsidRPr="00CD6434">
        <w:rPr>
          <w:rFonts w:ascii="Arial" w:hAnsi="Arial" w:cs="Arial"/>
          <w:szCs w:val="26"/>
        </w:rPr>
        <w:t xml:space="preserve">Todo </w:t>
      </w:r>
      <w:r w:rsidR="00347B16" w:rsidRPr="00CD6434">
        <w:rPr>
          <w:rFonts w:ascii="Arial" w:hAnsi="Arial" w:cs="Arial"/>
          <w:szCs w:val="26"/>
        </w:rPr>
        <w:t>órgano jurisdiccional debe impartir justicia con base en una perspectiva de género</w:t>
      </w:r>
      <w:r w:rsidR="00347B16" w:rsidRPr="0089230D">
        <w:rPr>
          <w:rFonts w:ascii="Arial" w:hAnsi="Arial" w:cs="Arial"/>
          <w:szCs w:val="26"/>
        </w:rPr>
        <w:t xml:space="preserve">, </w:t>
      </w:r>
      <w:r>
        <w:rPr>
          <w:rFonts w:ascii="Arial" w:hAnsi="Arial" w:cs="Arial"/>
          <w:szCs w:val="26"/>
        </w:rPr>
        <w:t xml:space="preserve">siempre </w:t>
      </w:r>
      <w:r w:rsidR="00CD6434">
        <w:rPr>
          <w:rFonts w:ascii="Arial" w:hAnsi="Arial" w:cs="Arial"/>
          <w:szCs w:val="26"/>
        </w:rPr>
        <w:t xml:space="preserve">observando </w:t>
      </w:r>
      <w:r w:rsidR="001468D8">
        <w:rPr>
          <w:rFonts w:ascii="Arial" w:hAnsi="Arial" w:cs="Arial"/>
          <w:szCs w:val="26"/>
        </w:rPr>
        <w:t xml:space="preserve">a quien </w:t>
      </w:r>
      <w:r w:rsidR="001468D8" w:rsidRPr="0089230D">
        <w:rPr>
          <w:rFonts w:ascii="Arial" w:hAnsi="Arial" w:cs="Arial"/>
          <w:szCs w:val="26"/>
        </w:rPr>
        <w:t>se</w:t>
      </w:r>
      <w:r w:rsidR="00347B16" w:rsidRPr="0089230D">
        <w:rPr>
          <w:rFonts w:ascii="Arial" w:hAnsi="Arial" w:cs="Arial"/>
          <w:szCs w:val="26"/>
        </w:rPr>
        <w:t xml:space="preserve"> juzga</w:t>
      </w:r>
      <w:r w:rsidR="00C324DF">
        <w:rPr>
          <w:rFonts w:ascii="Arial" w:hAnsi="Arial" w:cs="Arial"/>
          <w:szCs w:val="26"/>
        </w:rPr>
        <w:t xml:space="preserve"> tanto </w:t>
      </w:r>
      <w:r w:rsidR="00CD6434">
        <w:rPr>
          <w:rFonts w:ascii="Arial" w:hAnsi="Arial" w:cs="Arial"/>
          <w:szCs w:val="26"/>
        </w:rPr>
        <w:t xml:space="preserve">a la persona que demanda </w:t>
      </w:r>
      <w:r w:rsidR="00C324DF">
        <w:rPr>
          <w:rFonts w:ascii="Arial" w:hAnsi="Arial" w:cs="Arial"/>
          <w:szCs w:val="26"/>
        </w:rPr>
        <w:t xml:space="preserve">como </w:t>
      </w:r>
      <w:r w:rsidR="00C324DF">
        <w:rPr>
          <w:rFonts w:ascii="Arial" w:hAnsi="Arial" w:cs="Arial"/>
          <w:szCs w:val="26"/>
        </w:rPr>
        <w:lastRenderedPageBreak/>
        <w:t>a</w:t>
      </w:r>
      <w:r w:rsidR="00CD6434">
        <w:rPr>
          <w:rFonts w:ascii="Arial" w:hAnsi="Arial" w:cs="Arial"/>
          <w:szCs w:val="26"/>
        </w:rPr>
        <w:t xml:space="preserve"> la denunciada, </w:t>
      </w:r>
      <w:r>
        <w:rPr>
          <w:rFonts w:ascii="Arial" w:hAnsi="Arial" w:cs="Arial"/>
          <w:szCs w:val="26"/>
        </w:rPr>
        <w:t xml:space="preserve">por lo </w:t>
      </w:r>
      <w:r w:rsidR="00CD6434">
        <w:rPr>
          <w:rFonts w:ascii="Arial" w:hAnsi="Arial" w:cs="Arial"/>
          <w:szCs w:val="26"/>
        </w:rPr>
        <w:t>que,</w:t>
      </w:r>
      <w:r>
        <w:rPr>
          <w:rFonts w:ascii="Arial" w:hAnsi="Arial" w:cs="Arial"/>
          <w:szCs w:val="26"/>
        </w:rPr>
        <w:t xml:space="preserve"> si la posible víctima es una mujer indígena, se debe juzgar, además, con perspectiva </w:t>
      </w:r>
      <w:r w:rsidR="00347B16" w:rsidRPr="0089230D">
        <w:rPr>
          <w:rFonts w:ascii="Arial" w:hAnsi="Arial" w:cs="Arial"/>
          <w:lang w:eastAsia="en-US"/>
        </w:rPr>
        <w:t>intercultural</w:t>
      </w:r>
      <w:r w:rsidR="00A86B4B">
        <w:rPr>
          <w:rFonts w:ascii="Arial" w:hAnsi="Arial" w:cs="Arial"/>
          <w:lang w:eastAsia="en-US"/>
        </w:rPr>
        <w:t xml:space="preserve"> (SUP-REC-133/2020)</w:t>
      </w:r>
      <w:r w:rsidR="00347B16" w:rsidRPr="0089230D">
        <w:rPr>
          <w:rFonts w:ascii="Arial" w:hAnsi="Arial" w:cs="Arial"/>
          <w:lang w:eastAsia="en-US"/>
        </w:rPr>
        <w:t>.</w:t>
      </w:r>
    </w:p>
    <w:p w14:paraId="56682828" w14:textId="74D95A00" w:rsidR="00CB4EE7" w:rsidRDefault="00CB4EE7" w:rsidP="00CB4EE7">
      <w:pPr>
        <w:spacing w:line="360" w:lineRule="auto"/>
        <w:jc w:val="both"/>
        <w:rPr>
          <w:rFonts w:ascii="Arial" w:hAnsi="Arial" w:cs="Arial"/>
          <w:lang w:eastAsia="en-US"/>
        </w:rPr>
      </w:pPr>
    </w:p>
    <w:p w14:paraId="515E992D" w14:textId="4C905509" w:rsidR="00CB4EE7" w:rsidRDefault="00CB4EE7" w:rsidP="00CB4EE7">
      <w:pPr>
        <w:spacing w:line="360" w:lineRule="auto"/>
        <w:jc w:val="both"/>
        <w:rPr>
          <w:rFonts w:ascii="Arial" w:hAnsi="Arial" w:cs="Arial"/>
          <w:lang w:eastAsia="en-US"/>
        </w:rPr>
      </w:pPr>
      <w:r w:rsidRPr="00CD6434">
        <w:rPr>
          <w:rFonts w:ascii="Arial" w:hAnsi="Arial" w:cs="Arial"/>
          <w:lang w:eastAsia="en-US"/>
        </w:rPr>
        <w:t>La inte</w:t>
      </w:r>
      <w:r w:rsidR="00C324DF">
        <w:rPr>
          <w:rFonts w:ascii="Arial" w:hAnsi="Arial" w:cs="Arial"/>
          <w:lang w:eastAsia="en-US"/>
        </w:rPr>
        <w:t>r</w:t>
      </w:r>
      <w:r w:rsidRPr="00CD6434">
        <w:rPr>
          <w:rFonts w:ascii="Arial" w:hAnsi="Arial" w:cs="Arial"/>
          <w:lang w:eastAsia="en-US"/>
        </w:rPr>
        <w:t xml:space="preserve">culturalidad </w:t>
      </w:r>
      <w:r w:rsidR="00CD6434">
        <w:rPr>
          <w:rFonts w:ascii="Arial" w:hAnsi="Arial" w:cs="Arial"/>
          <w:lang w:eastAsia="en-US"/>
        </w:rPr>
        <w:t>es un proceso de reconocimiento de la diferencia de culturas, en el que la interacción, comunicación dialógica y horizontal</w:t>
      </w:r>
      <w:r w:rsidR="00C324DF">
        <w:rPr>
          <w:rFonts w:ascii="Arial" w:hAnsi="Arial" w:cs="Arial"/>
          <w:lang w:eastAsia="en-US"/>
        </w:rPr>
        <w:t>idad</w:t>
      </w:r>
      <w:r w:rsidR="00CD6434">
        <w:rPr>
          <w:rFonts w:ascii="Arial" w:hAnsi="Arial" w:cs="Arial"/>
          <w:lang w:eastAsia="en-US"/>
        </w:rPr>
        <w:t xml:space="preserve"> son el principal elemento para arribar a acuerdos igualitarios que incluy</w:t>
      </w:r>
      <w:r w:rsidR="00C324DF">
        <w:rPr>
          <w:rFonts w:ascii="Arial" w:hAnsi="Arial" w:cs="Arial"/>
          <w:lang w:eastAsia="en-US"/>
        </w:rPr>
        <w:t>a</w:t>
      </w:r>
      <w:r w:rsidR="00CD6434">
        <w:rPr>
          <w:rFonts w:ascii="Arial" w:hAnsi="Arial" w:cs="Arial"/>
          <w:lang w:eastAsia="en-US"/>
        </w:rPr>
        <w:t xml:space="preserve">n las diferencias de cosmovisiones y distintas formas de vida. </w:t>
      </w:r>
    </w:p>
    <w:p w14:paraId="39F344F1" w14:textId="44A8B6B4" w:rsidR="00616D99" w:rsidRDefault="00616D99" w:rsidP="00CB4EE7">
      <w:pPr>
        <w:spacing w:line="360" w:lineRule="auto"/>
        <w:jc w:val="both"/>
        <w:rPr>
          <w:rFonts w:ascii="Arial" w:hAnsi="Arial" w:cs="Arial"/>
          <w:lang w:eastAsia="en-US"/>
        </w:rPr>
      </w:pPr>
    </w:p>
    <w:p w14:paraId="61D866EB" w14:textId="46970D9B" w:rsidR="005D26DF" w:rsidRPr="00256557" w:rsidRDefault="00616D99" w:rsidP="00256557">
      <w:pPr>
        <w:spacing w:line="360" w:lineRule="auto"/>
        <w:jc w:val="both"/>
        <w:rPr>
          <w:rFonts w:ascii="Arial" w:hAnsi="Arial" w:cs="Arial"/>
          <w:lang w:eastAsia="en-US"/>
        </w:rPr>
      </w:pPr>
      <w:r>
        <w:rPr>
          <w:rFonts w:ascii="Arial" w:hAnsi="Arial" w:cs="Arial"/>
          <w:lang w:eastAsia="en-US"/>
        </w:rPr>
        <w:t xml:space="preserve">Es una perspectiva de diálogo entre unos y otros que busca alejarse de la imposición de significados culturales </w:t>
      </w:r>
      <w:r w:rsidR="00500F7F">
        <w:rPr>
          <w:rFonts w:ascii="Arial" w:hAnsi="Arial" w:cs="Arial"/>
          <w:lang w:eastAsia="en-US"/>
        </w:rPr>
        <w:t>y</w:t>
      </w:r>
      <w:r>
        <w:rPr>
          <w:rFonts w:ascii="Arial" w:hAnsi="Arial" w:cs="Arial"/>
          <w:lang w:eastAsia="en-US"/>
        </w:rPr>
        <w:t xml:space="preserve"> comprender las situaciones de posible vulnerabilidad en un contexto específico</w:t>
      </w:r>
      <w:r w:rsidR="00A86B4B">
        <w:rPr>
          <w:rFonts w:ascii="Arial" w:hAnsi="Arial" w:cs="Arial"/>
          <w:lang w:eastAsia="en-US"/>
        </w:rPr>
        <w:t xml:space="preserve"> (Sierra 2009, 76)</w:t>
      </w:r>
      <w:r w:rsidR="00A86B4B">
        <w:rPr>
          <w:rFonts w:ascii="Century Gothic" w:hAnsi="Century Gothic"/>
          <w:szCs w:val="27"/>
        </w:rPr>
        <w:t>.</w:t>
      </w:r>
      <w:r>
        <w:rPr>
          <w:rFonts w:ascii="Arial" w:hAnsi="Arial" w:cs="Arial"/>
          <w:lang w:eastAsia="en-US"/>
        </w:rPr>
        <w:t xml:space="preserve"> </w:t>
      </w:r>
      <w:r w:rsidR="00256557">
        <w:rPr>
          <w:rFonts w:ascii="Arial" w:hAnsi="Arial" w:cs="Arial"/>
          <w:lang w:eastAsia="en-US"/>
        </w:rPr>
        <w:t xml:space="preserve">Así, </w:t>
      </w:r>
      <w:r w:rsidR="00500F7F">
        <w:rPr>
          <w:rFonts w:ascii="Arial" w:hAnsi="Arial" w:cs="Arial"/>
          <w:lang w:eastAsia="en-US"/>
        </w:rPr>
        <w:t xml:space="preserve">todas </w:t>
      </w:r>
      <w:r w:rsidR="00256557">
        <w:rPr>
          <w:rFonts w:ascii="Arial" w:hAnsi="Arial" w:cs="Arial"/>
          <w:lang w:eastAsia="en-US"/>
        </w:rPr>
        <w:t>las</w:t>
      </w:r>
      <w:r>
        <w:rPr>
          <w:rFonts w:ascii="Arial" w:hAnsi="Arial" w:cs="Arial"/>
          <w:lang w:eastAsia="en-US"/>
        </w:rPr>
        <w:t xml:space="preserve"> personas necesitan de protección a sus derechos humanos atendiendo a esas circunstancias, </w:t>
      </w:r>
      <w:r w:rsidR="00500F7F">
        <w:rPr>
          <w:rFonts w:ascii="Arial" w:hAnsi="Arial" w:cs="Arial"/>
          <w:lang w:eastAsia="en-US"/>
        </w:rPr>
        <w:t xml:space="preserve">que </w:t>
      </w:r>
      <w:r w:rsidR="00256557">
        <w:rPr>
          <w:rFonts w:ascii="Arial" w:hAnsi="Arial" w:cs="Arial"/>
          <w:lang w:eastAsia="en-US"/>
        </w:rPr>
        <w:t>se les tutelen esos derechos de forma integra</w:t>
      </w:r>
      <w:r w:rsidR="00500F7F">
        <w:rPr>
          <w:rFonts w:ascii="Arial" w:hAnsi="Arial" w:cs="Arial"/>
          <w:lang w:eastAsia="en-US"/>
        </w:rPr>
        <w:t>l</w:t>
      </w:r>
      <w:r w:rsidR="00256557">
        <w:rPr>
          <w:rFonts w:ascii="Arial" w:hAnsi="Arial" w:cs="Arial"/>
          <w:lang w:eastAsia="en-US"/>
        </w:rPr>
        <w:t xml:space="preserve"> para </w:t>
      </w:r>
      <w:r>
        <w:rPr>
          <w:rFonts w:ascii="Arial" w:hAnsi="Arial" w:cs="Arial"/>
          <w:lang w:eastAsia="en-US"/>
        </w:rPr>
        <w:t xml:space="preserve">evitar </w:t>
      </w:r>
      <w:r w:rsidR="00256557">
        <w:rPr>
          <w:rFonts w:ascii="Arial" w:hAnsi="Arial" w:cs="Arial"/>
          <w:lang w:eastAsia="en-US"/>
        </w:rPr>
        <w:t>una</w:t>
      </w:r>
      <w:r>
        <w:rPr>
          <w:rFonts w:ascii="Arial" w:hAnsi="Arial" w:cs="Arial"/>
          <w:lang w:eastAsia="en-US"/>
        </w:rPr>
        <w:t xml:space="preserve"> ceguera</w:t>
      </w:r>
      <w:r w:rsidR="00256557">
        <w:rPr>
          <w:rFonts w:ascii="Arial" w:hAnsi="Arial" w:cs="Arial"/>
          <w:lang w:eastAsia="en-US"/>
        </w:rPr>
        <w:t xml:space="preserve"> que </w:t>
      </w:r>
      <w:r>
        <w:rPr>
          <w:rFonts w:ascii="Arial" w:hAnsi="Arial" w:cs="Arial"/>
          <w:lang w:eastAsia="en-US"/>
        </w:rPr>
        <w:t xml:space="preserve">conllevaría </w:t>
      </w:r>
      <w:r w:rsidR="00256557">
        <w:rPr>
          <w:rFonts w:ascii="Arial" w:hAnsi="Arial" w:cs="Arial"/>
          <w:lang w:eastAsia="en-US"/>
        </w:rPr>
        <w:t xml:space="preserve">no respetar y proteger </w:t>
      </w:r>
      <w:r>
        <w:rPr>
          <w:rFonts w:ascii="Arial" w:hAnsi="Arial" w:cs="Arial"/>
          <w:lang w:eastAsia="en-US"/>
        </w:rPr>
        <w:t>de forma</w:t>
      </w:r>
      <w:r w:rsidR="00500F7F">
        <w:rPr>
          <w:rFonts w:ascii="Arial" w:hAnsi="Arial" w:cs="Arial"/>
          <w:lang w:eastAsia="en-US"/>
        </w:rPr>
        <w:t xml:space="preserve"> </w:t>
      </w:r>
      <w:r>
        <w:rPr>
          <w:rFonts w:ascii="Arial" w:hAnsi="Arial" w:cs="Arial"/>
          <w:lang w:eastAsia="en-US"/>
        </w:rPr>
        <w:t>parcial o hasta de forma nula los derechos de las personas en esos contextos.</w:t>
      </w:r>
      <w:r w:rsidR="005D26DF" w:rsidRPr="00243E30">
        <w:rPr>
          <w:rFonts w:ascii="Century Gothic" w:hAnsi="Century Gothic"/>
          <w:szCs w:val="27"/>
        </w:rPr>
        <w:t xml:space="preserve"> </w:t>
      </w:r>
    </w:p>
    <w:p w14:paraId="71BC0CC9" w14:textId="56436BDC" w:rsidR="005D26DF" w:rsidRPr="00256557" w:rsidRDefault="005D26DF" w:rsidP="008341D6">
      <w:pPr>
        <w:jc w:val="both"/>
        <w:rPr>
          <w:rFonts w:ascii="Arial" w:hAnsi="Arial" w:cs="Arial"/>
          <w:szCs w:val="27"/>
        </w:rPr>
      </w:pPr>
    </w:p>
    <w:p w14:paraId="738DC60A" w14:textId="66D6E63F" w:rsidR="005D26DF" w:rsidRDefault="005D26DF" w:rsidP="008341D6">
      <w:pPr>
        <w:spacing w:line="360" w:lineRule="auto"/>
        <w:jc w:val="both"/>
        <w:rPr>
          <w:rFonts w:ascii="Arial" w:eastAsia="Times New Roman" w:hAnsi="Arial" w:cs="Arial"/>
          <w:bCs/>
        </w:rPr>
      </w:pPr>
      <w:r w:rsidRPr="008341D6">
        <w:rPr>
          <w:rFonts w:ascii="Arial" w:eastAsia="Times New Roman" w:hAnsi="Arial" w:cs="Arial"/>
          <w:bCs/>
        </w:rPr>
        <w:t xml:space="preserve">Así al encontrarse una persona en un conflicto con dos calidades personales que las </w:t>
      </w:r>
      <w:r w:rsidR="008341D6" w:rsidRPr="008341D6">
        <w:rPr>
          <w:rFonts w:ascii="Arial" w:eastAsia="Times New Roman" w:hAnsi="Arial" w:cs="Arial"/>
          <w:bCs/>
        </w:rPr>
        <w:t>caracterizan</w:t>
      </w:r>
      <w:r w:rsidRPr="008341D6">
        <w:rPr>
          <w:rFonts w:ascii="Arial" w:eastAsia="Times New Roman" w:hAnsi="Arial" w:cs="Arial"/>
          <w:bCs/>
        </w:rPr>
        <w:t xml:space="preserve"> en su vida social y cultural, puede encontrarse en una situación de doble vulneración a sus derechos humanos, y de doble o más discriminación. </w:t>
      </w:r>
    </w:p>
    <w:p w14:paraId="5D4BEE87" w14:textId="450AA39C" w:rsidR="00500F7F" w:rsidRDefault="00500F7F" w:rsidP="008341D6">
      <w:pPr>
        <w:spacing w:line="360" w:lineRule="auto"/>
        <w:jc w:val="both"/>
        <w:rPr>
          <w:rFonts w:ascii="Arial" w:eastAsia="Times New Roman" w:hAnsi="Arial" w:cs="Arial"/>
          <w:bCs/>
        </w:rPr>
      </w:pPr>
    </w:p>
    <w:p w14:paraId="7D32F993" w14:textId="6CF2703B" w:rsidR="00500F7F" w:rsidRDefault="00500F7F" w:rsidP="00500F7F">
      <w:pPr>
        <w:spacing w:line="360" w:lineRule="auto"/>
        <w:jc w:val="both"/>
        <w:rPr>
          <w:rFonts w:ascii="Arial" w:hAnsi="Arial" w:cs="Arial"/>
          <w:szCs w:val="27"/>
        </w:rPr>
      </w:pPr>
      <w:r>
        <w:rPr>
          <w:rFonts w:ascii="Arial" w:hAnsi="Arial" w:cs="Arial"/>
          <w:szCs w:val="27"/>
        </w:rPr>
        <w:t>Por ejemplo, e</w:t>
      </w:r>
      <w:r w:rsidRPr="00256557">
        <w:rPr>
          <w:rFonts w:ascii="Arial" w:hAnsi="Arial" w:cs="Arial"/>
          <w:szCs w:val="27"/>
        </w:rPr>
        <w:t xml:space="preserve">n el caso de mujeres indígenas, la interculturalidad </w:t>
      </w:r>
      <w:r>
        <w:rPr>
          <w:rFonts w:ascii="Arial" w:hAnsi="Arial" w:cs="Arial"/>
          <w:szCs w:val="27"/>
        </w:rPr>
        <w:t>y el género son dos característica</w:t>
      </w:r>
      <w:r w:rsidR="00C324DF">
        <w:rPr>
          <w:rFonts w:ascii="Arial" w:hAnsi="Arial" w:cs="Arial"/>
          <w:szCs w:val="27"/>
        </w:rPr>
        <w:t xml:space="preserve">s que pueden arribar a que la </w:t>
      </w:r>
      <w:r>
        <w:rPr>
          <w:rFonts w:ascii="Arial" w:hAnsi="Arial" w:cs="Arial"/>
          <w:szCs w:val="27"/>
        </w:rPr>
        <w:t>discriminación hacia ellas ten</w:t>
      </w:r>
      <w:r w:rsidR="00C324DF">
        <w:rPr>
          <w:rFonts w:ascii="Arial" w:hAnsi="Arial" w:cs="Arial"/>
          <w:szCs w:val="27"/>
        </w:rPr>
        <w:t>ga</w:t>
      </w:r>
      <w:r>
        <w:rPr>
          <w:rFonts w:ascii="Arial" w:hAnsi="Arial" w:cs="Arial"/>
          <w:szCs w:val="27"/>
        </w:rPr>
        <w:t xml:space="preserve"> mayor fuerza</w:t>
      </w:r>
      <w:r w:rsidR="00C324DF">
        <w:rPr>
          <w:rFonts w:ascii="Arial" w:hAnsi="Arial" w:cs="Arial"/>
          <w:szCs w:val="27"/>
        </w:rPr>
        <w:t>.</w:t>
      </w:r>
      <w:r>
        <w:rPr>
          <w:rFonts w:ascii="Arial" w:hAnsi="Arial" w:cs="Arial"/>
          <w:szCs w:val="27"/>
        </w:rPr>
        <w:t xml:space="preserve"> </w:t>
      </w:r>
      <w:r w:rsidR="00C324DF">
        <w:rPr>
          <w:rFonts w:ascii="Arial" w:hAnsi="Arial" w:cs="Arial"/>
          <w:szCs w:val="27"/>
        </w:rPr>
        <w:t xml:space="preserve">Así, la </w:t>
      </w:r>
      <w:r>
        <w:rPr>
          <w:rFonts w:ascii="Arial" w:hAnsi="Arial" w:cs="Arial"/>
          <w:szCs w:val="27"/>
        </w:rPr>
        <w:t>violencia</w:t>
      </w:r>
      <w:r w:rsidR="00C324DF">
        <w:rPr>
          <w:rFonts w:ascii="Arial" w:hAnsi="Arial" w:cs="Arial"/>
          <w:szCs w:val="27"/>
        </w:rPr>
        <w:t>, generalmente, se da</w:t>
      </w:r>
      <w:r>
        <w:rPr>
          <w:rFonts w:ascii="Arial" w:hAnsi="Arial" w:cs="Arial"/>
          <w:szCs w:val="27"/>
        </w:rPr>
        <w:t xml:space="preserve"> en contextos fuera del alcance de quienes juzgan, </w:t>
      </w:r>
      <w:r w:rsidR="00C324DF">
        <w:rPr>
          <w:rFonts w:ascii="Arial" w:hAnsi="Arial" w:cs="Arial"/>
          <w:szCs w:val="27"/>
        </w:rPr>
        <w:t xml:space="preserve">y para entender ese escenario, deben </w:t>
      </w:r>
      <w:r>
        <w:rPr>
          <w:rFonts w:ascii="Arial" w:hAnsi="Arial" w:cs="Arial"/>
          <w:szCs w:val="27"/>
        </w:rPr>
        <w:t xml:space="preserve">adoptar perspectivas que contengan ambas calidades de la mujer que demanda VPG en su contra. </w:t>
      </w:r>
    </w:p>
    <w:p w14:paraId="70CB03F9" w14:textId="376461E4" w:rsidR="00256557" w:rsidRDefault="00256557" w:rsidP="008341D6">
      <w:pPr>
        <w:spacing w:line="360" w:lineRule="auto"/>
        <w:jc w:val="both"/>
        <w:rPr>
          <w:rFonts w:ascii="Arial" w:eastAsia="Times New Roman" w:hAnsi="Arial" w:cs="Arial"/>
          <w:bCs/>
        </w:rPr>
      </w:pPr>
    </w:p>
    <w:p w14:paraId="6F42C327" w14:textId="244BD8E6" w:rsidR="00256557" w:rsidRPr="008341D6" w:rsidRDefault="00256557" w:rsidP="00256557">
      <w:pPr>
        <w:spacing w:line="360" w:lineRule="auto"/>
        <w:jc w:val="both"/>
        <w:rPr>
          <w:rFonts w:ascii="Arial" w:eastAsia="Times New Roman" w:hAnsi="Arial" w:cs="Arial"/>
          <w:bCs/>
        </w:rPr>
      </w:pPr>
      <w:r>
        <w:rPr>
          <w:rFonts w:ascii="Arial" w:eastAsia="Times New Roman" w:hAnsi="Arial" w:cs="Arial"/>
          <w:bCs/>
        </w:rPr>
        <w:t>Por ejemplo, en el caso del</w:t>
      </w:r>
      <w:r w:rsidRPr="008341D6">
        <w:rPr>
          <w:rFonts w:ascii="Arial" w:eastAsia="Times New Roman" w:hAnsi="Arial" w:cs="Arial"/>
          <w:bCs/>
        </w:rPr>
        <w:t xml:space="preserve"> género </w:t>
      </w:r>
      <w:r>
        <w:rPr>
          <w:rFonts w:ascii="Arial" w:eastAsia="Times New Roman" w:hAnsi="Arial" w:cs="Arial"/>
          <w:bCs/>
        </w:rPr>
        <w:t xml:space="preserve">de una persona, este </w:t>
      </w:r>
      <w:r w:rsidRPr="008341D6">
        <w:rPr>
          <w:rFonts w:ascii="Arial" w:eastAsia="Times New Roman" w:hAnsi="Arial" w:cs="Arial"/>
          <w:bCs/>
        </w:rPr>
        <w:t>convive, además del contexto, con otras categorías que pueden profundizar y agravar los efectos de la violencia. Por ello, debe tomarse en cuenta el elemento de interseccionalidad, es decir, si se trata de mujeres embarazadas, con discapacidad, transexuales o transgénero, indígenas</w:t>
      </w:r>
      <w:r>
        <w:rPr>
          <w:rFonts w:ascii="Arial" w:eastAsia="Times New Roman" w:hAnsi="Arial" w:cs="Arial"/>
          <w:bCs/>
        </w:rPr>
        <w:t xml:space="preserve"> (interculturalidad)</w:t>
      </w:r>
      <w:r w:rsidRPr="008341D6">
        <w:rPr>
          <w:rFonts w:ascii="Arial" w:eastAsia="Times New Roman" w:hAnsi="Arial" w:cs="Arial"/>
          <w:bCs/>
        </w:rPr>
        <w:t xml:space="preserve">, adultas mayores, etcétera. Esto implicará </w:t>
      </w:r>
      <w:r w:rsidRPr="008341D6">
        <w:rPr>
          <w:rFonts w:ascii="Arial" w:eastAsia="Times New Roman" w:hAnsi="Arial" w:cs="Arial"/>
          <w:bCs/>
        </w:rPr>
        <w:lastRenderedPageBreak/>
        <w:t>repercusiones distintas para cada víctima y, por tanto, demandará una actuación particular de las autoridades.</w:t>
      </w:r>
    </w:p>
    <w:p w14:paraId="1C938169" w14:textId="77777777" w:rsidR="005D26DF" w:rsidRPr="00CF28BB" w:rsidRDefault="005D26DF" w:rsidP="00CB4EE7">
      <w:pPr>
        <w:spacing w:line="360" w:lineRule="auto"/>
        <w:jc w:val="both"/>
        <w:rPr>
          <w:rFonts w:ascii="Arial" w:hAnsi="Arial" w:cs="Arial"/>
        </w:rPr>
      </w:pPr>
    </w:p>
    <w:p w14:paraId="524771BF" w14:textId="63851DE1" w:rsidR="00347B16" w:rsidRDefault="00347B16" w:rsidP="00CB4EE7">
      <w:pPr>
        <w:pStyle w:val="NormalWeb"/>
        <w:spacing w:before="0" w:beforeAutospacing="0" w:after="0" w:afterAutospacing="0" w:line="360" w:lineRule="auto"/>
        <w:jc w:val="both"/>
        <w:rPr>
          <w:rFonts w:ascii="Arial" w:hAnsi="Arial" w:cs="Arial"/>
        </w:rPr>
      </w:pPr>
      <w:r w:rsidRPr="00CF28BB">
        <w:rPr>
          <w:rFonts w:ascii="Arial" w:hAnsi="Arial" w:cs="Arial"/>
          <w:bCs/>
        </w:rPr>
        <w:t xml:space="preserve">La interseccionalidad según la </w:t>
      </w:r>
      <w:proofErr w:type="spellStart"/>
      <w:r w:rsidR="00256557">
        <w:rPr>
          <w:rFonts w:ascii="Arial" w:hAnsi="Arial" w:cs="Arial"/>
          <w:bCs/>
        </w:rPr>
        <w:t>CoIDH</w:t>
      </w:r>
      <w:proofErr w:type="spellEnd"/>
      <w:r w:rsidRPr="00CF28BB">
        <w:rPr>
          <w:rFonts w:ascii="Arial" w:hAnsi="Arial" w:cs="Arial"/>
          <w:bCs/>
        </w:rPr>
        <w:t xml:space="preserve"> </w:t>
      </w:r>
      <w:r w:rsidRPr="0055775F">
        <w:rPr>
          <w:rFonts w:ascii="Arial" w:hAnsi="Arial" w:cs="Arial"/>
          <w:bCs/>
        </w:rPr>
        <w:t xml:space="preserve">se observa cuando </w:t>
      </w:r>
      <w:r w:rsidRPr="0055775F">
        <w:rPr>
          <w:rFonts w:ascii="Arial" w:hAnsi="Arial" w:cs="Arial"/>
        </w:rPr>
        <w:t xml:space="preserve">grupos </w:t>
      </w:r>
      <w:r w:rsidR="00CB4EE7">
        <w:rPr>
          <w:rFonts w:ascii="Arial" w:hAnsi="Arial" w:cs="Arial"/>
        </w:rPr>
        <w:t>las</w:t>
      </w:r>
      <w:r w:rsidRPr="0055775F">
        <w:rPr>
          <w:rFonts w:ascii="Arial" w:hAnsi="Arial" w:cs="Arial"/>
        </w:rPr>
        <w:t xml:space="preserve"> mujeres sufren discriminación </w:t>
      </w:r>
      <w:r>
        <w:rPr>
          <w:rFonts w:ascii="Arial" w:hAnsi="Arial" w:cs="Arial"/>
        </w:rPr>
        <w:t>en</w:t>
      </w:r>
      <w:r w:rsidRPr="0055775F">
        <w:rPr>
          <w:rFonts w:ascii="Arial" w:hAnsi="Arial" w:cs="Arial"/>
        </w:rPr>
        <w:t xml:space="preserve"> su vida con base en más de un factor combinado con su sexo, lo que aumenta su riesgo de sufrir actos de violencia y otras violaciones de sus derechos humanos</w:t>
      </w:r>
      <w:r w:rsidR="00A86B4B">
        <w:rPr>
          <w:rFonts w:ascii="Arial" w:hAnsi="Arial" w:cs="Arial"/>
        </w:rPr>
        <w:t xml:space="preserve"> (</w:t>
      </w:r>
      <w:r w:rsidR="00A86B4B" w:rsidRPr="006549DA">
        <w:rPr>
          <w:rFonts w:ascii="Arial" w:hAnsi="Arial" w:cs="Arial"/>
        </w:rPr>
        <w:t xml:space="preserve">Gonzales </w:t>
      </w:r>
      <w:proofErr w:type="spellStart"/>
      <w:r w:rsidR="00A86B4B" w:rsidRPr="006549DA">
        <w:rPr>
          <w:rFonts w:ascii="Arial" w:hAnsi="Arial" w:cs="Arial"/>
        </w:rPr>
        <w:t>Lluy</w:t>
      </w:r>
      <w:proofErr w:type="spellEnd"/>
      <w:r w:rsidR="00A86B4B" w:rsidRPr="006549DA">
        <w:rPr>
          <w:rFonts w:ascii="Arial" w:hAnsi="Arial" w:cs="Arial"/>
        </w:rPr>
        <w:t xml:space="preserve"> y otros </w:t>
      </w:r>
      <w:r w:rsidR="00A86B4B">
        <w:rPr>
          <w:rFonts w:ascii="Arial" w:hAnsi="Arial" w:cs="Arial"/>
        </w:rPr>
        <w:t>v</w:t>
      </w:r>
      <w:r w:rsidR="00A86B4B" w:rsidRPr="006549DA">
        <w:rPr>
          <w:rFonts w:ascii="Arial" w:hAnsi="Arial" w:cs="Arial"/>
        </w:rPr>
        <w:t>s Ecuador</w:t>
      </w:r>
      <w:r w:rsidR="00A86B4B">
        <w:rPr>
          <w:rFonts w:ascii="Arial" w:hAnsi="Arial" w:cs="Arial"/>
        </w:rPr>
        <w:t xml:space="preserve"> </w:t>
      </w:r>
      <w:r w:rsidR="00A86B4B" w:rsidRPr="006549DA">
        <w:rPr>
          <w:rFonts w:ascii="Arial" w:hAnsi="Arial" w:cs="Arial"/>
        </w:rPr>
        <w:t>2015</w:t>
      </w:r>
      <w:r w:rsidR="00A86B4B">
        <w:rPr>
          <w:rFonts w:ascii="Arial" w:hAnsi="Arial" w:cs="Arial"/>
        </w:rPr>
        <w:t xml:space="preserve">, </w:t>
      </w:r>
      <w:r w:rsidR="00A86B4B" w:rsidRPr="006549DA">
        <w:rPr>
          <w:rFonts w:ascii="Arial" w:hAnsi="Arial" w:cs="Arial"/>
        </w:rPr>
        <w:t>párrafo 288</w:t>
      </w:r>
      <w:r w:rsidR="00A86B4B">
        <w:rPr>
          <w:rFonts w:ascii="Arial" w:hAnsi="Arial" w:cs="Arial"/>
        </w:rPr>
        <w:t>)</w:t>
      </w:r>
      <w:r w:rsidRPr="0055775F">
        <w:rPr>
          <w:rFonts w:ascii="Arial" w:hAnsi="Arial" w:cs="Arial"/>
        </w:rPr>
        <w:t>.</w:t>
      </w:r>
      <w:r w:rsidRPr="0055775F">
        <w:rPr>
          <w:rStyle w:val="Refdenotaalpie"/>
          <w:rFonts w:ascii="Arial" w:hAnsi="Arial" w:cs="Arial"/>
        </w:rPr>
        <w:footnoteReference w:id="9"/>
      </w:r>
    </w:p>
    <w:p w14:paraId="556D8342" w14:textId="77777777" w:rsidR="00CB4EE7" w:rsidRDefault="00CB4EE7" w:rsidP="00CB4EE7">
      <w:pPr>
        <w:pStyle w:val="NormalWeb"/>
        <w:spacing w:before="0" w:beforeAutospacing="0" w:after="0" w:afterAutospacing="0" w:line="360" w:lineRule="auto"/>
        <w:jc w:val="both"/>
        <w:rPr>
          <w:rFonts w:ascii="Arial" w:hAnsi="Arial" w:cs="Arial"/>
        </w:rPr>
      </w:pPr>
    </w:p>
    <w:p w14:paraId="540A3A3F" w14:textId="3636DCD4" w:rsidR="00347B16" w:rsidRDefault="00347B16" w:rsidP="00CB4EE7">
      <w:pPr>
        <w:pStyle w:val="NormalWeb"/>
        <w:spacing w:before="0" w:beforeAutospacing="0" w:after="0" w:afterAutospacing="0" w:line="360" w:lineRule="auto"/>
        <w:jc w:val="both"/>
        <w:rPr>
          <w:rFonts w:ascii="Arial" w:hAnsi="Arial" w:cs="Arial"/>
        </w:rPr>
      </w:pPr>
      <w:r w:rsidRPr="0055775F">
        <w:rPr>
          <w:rFonts w:ascii="Arial" w:hAnsi="Arial" w:cs="Arial"/>
        </w:rPr>
        <w:t xml:space="preserve">Así, la interseccionalidad es un concepto relacionado con la discriminación de la mujer por motivos de sexo y género unida de </w:t>
      </w:r>
      <w:r>
        <w:rPr>
          <w:rFonts w:ascii="Arial" w:hAnsi="Arial" w:cs="Arial"/>
        </w:rPr>
        <w:t>forma</w:t>
      </w:r>
      <w:r w:rsidRPr="0055775F">
        <w:rPr>
          <w:rFonts w:ascii="Arial" w:hAnsi="Arial" w:cs="Arial"/>
        </w:rPr>
        <w:t xml:space="preserve"> indivisible a otros factores que </w:t>
      </w:r>
      <w:r w:rsidR="00C324DF">
        <w:rPr>
          <w:rFonts w:ascii="Arial" w:hAnsi="Arial" w:cs="Arial"/>
        </w:rPr>
        <w:t>las afectan</w:t>
      </w:r>
      <w:r>
        <w:rPr>
          <w:rFonts w:ascii="Arial" w:hAnsi="Arial" w:cs="Arial"/>
        </w:rPr>
        <w:t>.</w:t>
      </w:r>
      <w:r w:rsidRPr="0055775F">
        <w:rPr>
          <w:rFonts w:ascii="Arial" w:hAnsi="Arial" w:cs="Arial"/>
        </w:rPr>
        <w:t xml:space="preserve"> La discriminació</w:t>
      </w:r>
      <w:r w:rsidR="008341D6">
        <w:rPr>
          <w:rFonts w:ascii="Arial" w:hAnsi="Arial" w:cs="Arial"/>
        </w:rPr>
        <w:t>n</w:t>
      </w:r>
      <w:r w:rsidRPr="0055775F">
        <w:rPr>
          <w:rFonts w:ascii="Arial" w:hAnsi="Arial" w:cs="Arial"/>
        </w:rPr>
        <w:t xml:space="preserve"> por </w:t>
      </w:r>
      <w:r>
        <w:rPr>
          <w:rFonts w:ascii="Arial" w:hAnsi="Arial" w:cs="Arial"/>
        </w:rPr>
        <w:t>esos motivos</w:t>
      </w:r>
      <w:r w:rsidRPr="0055775F">
        <w:rPr>
          <w:rFonts w:ascii="Arial" w:hAnsi="Arial" w:cs="Arial"/>
        </w:rPr>
        <w:t xml:space="preserve"> puede afectar a mujeres de cierto</w:t>
      </w:r>
      <w:r>
        <w:rPr>
          <w:rFonts w:ascii="Arial" w:hAnsi="Arial" w:cs="Arial"/>
        </w:rPr>
        <w:t>s</w:t>
      </w:r>
      <w:r w:rsidRPr="0055775F">
        <w:rPr>
          <w:rFonts w:ascii="Arial" w:hAnsi="Arial" w:cs="Arial"/>
        </w:rPr>
        <w:t xml:space="preserve"> grupos en diferente medida</w:t>
      </w:r>
      <w:r w:rsidR="00A86B4B">
        <w:rPr>
          <w:rFonts w:ascii="Arial" w:hAnsi="Arial" w:cs="Arial"/>
        </w:rPr>
        <w:t xml:space="preserve"> (</w:t>
      </w:r>
      <w:r w:rsidR="00A86B4B" w:rsidRPr="00A86B4B">
        <w:rPr>
          <w:rFonts w:ascii="Arial" w:hAnsi="Arial" w:cs="Arial"/>
        </w:rPr>
        <w:t xml:space="preserve">Ramírez Escobar y otros </w:t>
      </w:r>
      <w:r w:rsidR="00A86B4B">
        <w:rPr>
          <w:rFonts w:ascii="Arial" w:hAnsi="Arial" w:cs="Arial"/>
        </w:rPr>
        <w:t>v</w:t>
      </w:r>
      <w:r w:rsidR="00A86B4B" w:rsidRPr="00A86B4B">
        <w:rPr>
          <w:rFonts w:ascii="Arial" w:hAnsi="Arial" w:cs="Arial"/>
        </w:rPr>
        <w:t>s. Guatemala 2018, párrafo 276</w:t>
      </w:r>
      <w:r w:rsidR="00A86B4B">
        <w:rPr>
          <w:rFonts w:ascii="Arial" w:hAnsi="Arial" w:cs="Arial"/>
        </w:rPr>
        <w:t xml:space="preserve">; </w:t>
      </w:r>
      <w:r w:rsidR="00A86B4B" w:rsidRPr="00A86B4B">
        <w:rPr>
          <w:rFonts w:ascii="Arial" w:hAnsi="Arial" w:cs="Arial"/>
        </w:rPr>
        <w:t>CEDAW</w:t>
      </w:r>
      <w:r w:rsidR="00A86B4B">
        <w:rPr>
          <w:rFonts w:ascii="Arial" w:hAnsi="Arial" w:cs="Arial"/>
        </w:rPr>
        <w:t xml:space="preserve"> 2010,</w:t>
      </w:r>
      <w:r w:rsidR="00A86B4B" w:rsidRPr="00A86B4B">
        <w:rPr>
          <w:rFonts w:ascii="Arial" w:hAnsi="Arial" w:cs="Arial"/>
        </w:rPr>
        <w:t xml:space="preserve"> Recomendación General 28</w:t>
      </w:r>
      <w:r w:rsidR="00A86B4B">
        <w:rPr>
          <w:rFonts w:ascii="Arial" w:hAnsi="Arial" w:cs="Arial"/>
        </w:rPr>
        <w:t>, párrafo 18 y Recomendación General 35, párrafo 12).</w:t>
      </w:r>
      <w:r w:rsidRPr="0055775F">
        <w:rPr>
          <w:rStyle w:val="Refdenotaalpie"/>
          <w:rFonts w:ascii="Arial" w:hAnsi="Arial" w:cs="Arial"/>
        </w:rPr>
        <w:footnoteReference w:id="10"/>
      </w:r>
    </w:p>
    <w:p w14:paraId="02C7BFF2" w14:textId="77777777" w:rsidR="00CB4EE7" w:rsidRDefault="00CB4EE7" w:rsidP="00CB4EE7">
      <w:pPr>
        <w:pStyle w:val="NormalWeb"/>
        <w:spacing w:before="0" w:beforeAutospacing="0" w:after="0" w:afterAutospacing="0" w:line="360" w:lineRule="auto"/>
        <w:jc w:val="both"/>
        <w:rPr>
          <w:rFonts w:ascii="Arial" w:hAnsi="Arial" w:cs="Arial"/>
        </w:rPr>
      </w:pPr>
    </w:p>
    <w:p w14:paraId="17C4F3A4" w14:textId="03B4B2B2" w:rsidR="00500F7F" w:rsidRPr="00256557" w:rsidRDefault="00C324DF" w:rsidP="00500F7F">
      <w:pPr>
        <w:spacing w:line="360" w:lineRule="auto"/>
        <w:jc w:val="both"/>
        <w:rPr>
          <w:rFonts w:ascii="Arial" w:hAnsi="Arial" w:cs="Arial"/>
          <w:szCs w:val="27"/>
        </w:rPr>
      </w:pPr>
      <w:r>
        <w:rPr>
          <w:rFonts w:ascii="Arial" w:hAnsi="Arial" w:cs="Arial"/>
        </w:rPr>
        <w:t xml:space="preserve">De tal forma que, cuando se trate de mujeres indígenas, sus </w:t>
      </w:r>
      <w:r w:rsidR="0040481B" w:rsidRPr="0040481B">
        <w:rPr>
          <w:rFonts w:ascii="Arial" w:hAnsi="Arial" w:cs="Arial"/>
        </w:rPr>
        <w:t xml:space="preserve">derechos humanos </w:t>
      </w:r>
      <w:r w:rsidR="008341D6">
        <w:rPr>
          <w:rFonts w:ascii="Arial" w:hAnsi="Arial" w:cs="Arial"/>
        </w:rPr>
        <w:t>necesitan de una</w:t>
      </w:r>
      <w:r w:rsidR="0040481B" w:rsidRPr="0040481B">
        <w:rPr>
          <w:rFonts w:ascii="Arial" w:hAnsi="Arial" w:cs="Arial"/>
        </w:rPr>
        <w:t xml:space="preserve"> protección desde la perspectiva </w:t>
      </w:r>
      <w:proofErr w:type="spellStart"/>
      <w:r w:rsidR="0040481B" w:rsidRPr="0040481B">
        <w:rPr>
          <w:rFonts w:ascii="Arial" w:hAnsi="Arial" w:cs="Arial"/>
        </w:rPr>
        <w:t>interseccional</w:t>
      </w:r>
      <w:proofErr w:type="spellEnd"/>
      <w:r w:rsidR="0040481B" w:rsidRPr="0040481B">
        <w:rPr>
          <w:rFonts w:ascii="Arial" w:hAnsi="Arial" w:cs="Arial"/>
        </w:rPr>
        <w:t>, desde la posible doble discriminación, y atender, entonces, la posible doble desigualdad.</w:t>
      </w:r>
      <w:r w:rsidR="00500F7F">
        <w:rPr>
          <w:rFonts w:ascii="Arial" w:hAnsi="Arial" w:cs="Arial"/>
        </w:rPr>
        <w:t xml:space="preserve"> Ello, </w:t>
      </w:r>
      <w:r w:rsidR="00500F7F" w:rsidRPr="00256557">
        <w:rPr>
          <w:rFonts w:ascii="Arial" w:hAnsi="Arial" w:cs="Arial"/>
          <w:szCs w:val="27"/>
        </w:rPr>
        <w:t>permite reconocer las injusticias estructurales en su cultura específica</w:t>
      </w:r>
      <w:r w:rsidR="00500F7F">
        <w:rPr>
          <w:rFonts w:ascii="Arial" w:hAnsi="Arial" w:cs="Arial"/>
          <w:szCs w:val="27"/>
        </w:rPr>
        <w:t xml:space="preserve"> y así poder </w:t>
      </w:r>
      <w:r w:rsidR="00500F7F" w:rsidRPr="00256557">
        <w:rPr>
          <w:rFonts w:ascii="Arial" w:hAnsi="Arial" w:cs="Arial"/>
          <w:szCs w:val="27"/>
        </w:rPr>
        <w:t xml:space="preserve">elaborar acciones </w:t>
      </w:r>
      <w:r w:rsidR="00500F7F">
        <w:rPr>
          <w:rFonts w:ascii="Arial" w:hAnsi="Arial" w:cs="Arial"/>
          <w:szCs w:val="27"/>
        </w:rPr>
        <w:t xml:space="preserve">(con perspectiva de género e intercultural) </w:t>
      </w:r>
      <w:r w:rsidR="00500F7F" w:rsidRPr="00256557">
        <w:rPr>
          <w:rFonts w:ascii="Arial" w:hAnsi="Arial" w:cs="Arial"/>
          <w:szCs w:val="27"/>
        </w:rPr>
        <w:t xml:space="preserve">para </w:t>
      </w:r>
      <w:r>
        <w:rPr>
          <w:rFonts w:ascii="Arial" w:hAnsi="Arial" w:cs="Arial"/>
          <w:szCs w:val="27"/>
        </w:rPr>
        <w:t xml:space="preserve">buscar disuadirlas. </w:t>
      </w:r>
    </w:p>
    <w:p w14:paraId="5F24EE41" w14:textId="77777777" w:rsidR="0040481B" w:rsidRPr="0040481B" w:rsidRDefault="0040481B" w:rsidP="0040481B">
      <w:pPr>
        <w:spacing w:line="360" w:lineRule="auto"/>
        <w:ind w:right="49"/>
        <w:jc w:val="both"/>
        <w:rPr>
          <w:rFonts w:ascii="Arial" w:hAnsi="Arial" w:cs="Arial"/>
        </w:rPr>
      </w:pPr>
    </w:p>
    <w:p w14:paraId="5F5FFDB9" w14:textId="2F1580C3" w:rsidR="00CE735E" w:rsidRDefault="00500F7F" w:rsidP="00CE735E">
      <w:pPr>
        <w:spacing w:line="360" w:lineRule="auto"/>
        <w:jc w:val="both"/>
        <w:rPr>
          <w:rFonts w:ascii="Arial" w:hAnsi="Arial" w:cs="Arial"/>
          <w:bCs/>
          <w:lang w:eastAsia="en-US"/>
        </w:rPr>
      </w:pPr>
      <w:r>
        <w:rPr>
          <w:rFonts w:ascii="Arial" w:hAnsi="Arial" w:cs="Arial"/>
        </w:rPr>
        <w:t>Bajo esa idea, es o</w:t>
      </w:r>
      <w:r w:rsidR="0040481B" w:rsidRPr="0040481B">
        <w:rPr>
          <w:rFonts w:ascii="Arial" w:hAnsi="Arial" w:cs="Arial"/>
        </w:rPr>
        <w:t>bligación para las autoridades jurisdiccionales</w:t>
      </w:r>
      <w:r>
        <w:rPr>
          <w:rFonts w:ascii="Arial" w:hAnsi="Arial" w:cs="Arial"/>
        </w:rPr>
        <w:t xml:space="preserve"> </w:t>
      </w:r>
      <w:r w:rsidR="0040481B" w:rsidRPr="0040481B">
        <w:rPr>
          <w:rFonts w:ascii="Arial" w:hAnsi="Arial" w:cs="Arial"/>
        </w:rPr>
        <w:t xml:space="preserve">constitucionales electorales juzgar con perspectiva de género intercultural, lo que, a su vez, implica esa mirada ante la que se </w:t>
      </w:r>
      <w:proofErr w:type="spellStart"/>
      <w:r w:rsidR="0040481B" w:rsidRPr="0040481B">
        <w:rPr>
          <w:rFonts w:ascii="Arial" w:hAnsi="Arial" w:cs="Arial"/>
        </w:rPr>
        <w:t>intersectan</w:t>
      </w:r>
      <w:proofErr w:type="spellEnd"/>
      <w:r w:rsidR="0040481B" w:rsidRPr="0040481B">
        <w:rPr>
          <w:rFonts w:ascii="Arial" w:hAnsi="Arial" w:cs="Arial"/>
        </w:rPr>
        <w:t xml:space="preserve"> el género y la identidad cultural</w:t>
      </w:r>
      <w:r w:rsidR="00CE735E">
        <w:rPr>
          <w:rFonts w:ascii="Arial" w:hAnsi="Arial" w:cs="Arial"/>
        </w:rPr>
        <w:t xml:space="preserve">, y </w:t>
      </w:r>
      <w:r w:rsidR="00CE735E">
        <w:rPr>
          <w:rFonts w:ascii="Arial" w:hAnsi="Arial" w:cs="Arial"/>
        </w:rPr>
        <w:tab/>
        <w:t xml:space="preserve">que, </w:t>
      </w:r>
      <w:r w:rsidR="00CE735E" w:rsidRPr="009B37C3">
        <w:rPr>
          <w:rFonts w:ascii="Arial" w:hAnsi="Arial" w:cs="Arial"/>
          <w:bCs/>
          <w:lang w:eastAsia="en-US"/>
        </w:rPr>
        <w:t>no sólo abona en el acceso efectivo a la justicia, sino que añade en el derecho específico de las mujeres indígenas a tener una defensoría culturalmente adecuada.</w:t>
      </w:r>
    </w:p>
    <w:p w14:paraId="321DB296" w14:textId="77777777" w:rsidR="0040481B" w:rsidRPr="0040481B" w:rsidRDefault="0040481B" w:rsidP="0040481B">
      <w:pPr>
        <w:spacing w:line="360" w:lineRule="auto"/>
        <w:ind w:right="49"/>
        <w:jc w:val="both"/>
        <w:rPr>
          <w:rFonts w:ascii="Arial" w:hAnsi="Arial" w:cs="Arial"/>
        </w:rPr>
      </w:pPr>
    </w:p>
    <w:p w14:paraId="4EB2CDEA" w14:textId="2AAB4ACF" w:rsidR="0040481B" w:rsidRPr="000E7DA4" w:rsidRDefault="00500F7F" w:rsidP="00CB4EE7">
      <w:pPr>
        <w:spacing w:line="360" w:lineRule="auto"/>
        <w:ind w:right="49"/>
        <w:jc w:val="both"/>
        <w:rPr>
          <w:rFonts w:ascii="Arial" w:hAnsi="Arial" w:cs="Arial"/>
        </w:rPr>
      </w:pPr>
      <w:r w:rsidRPr="000E7DA4">
        <w:rPr>
          <w:rFonts w:ascii="Arial" w:hAnsi="Arial" w:cs="Arial"/>
        </w:rPr>
        <w:t xml:space="preserve">En otras palabras, </w:t>
      </w:r>
      <w:r w:rsidR="00CB4EE7" w:rsidRPr="000E7DA4">
        <w:rPr>
          <w:rFonts w:ascii="Arial" w:hAnsi="Arial" w:cs="Arial"/>
        </w:rPr>
        <w:t>si</w:t>
      </w:r>
      <w:r w:rsidR="0040481B" w:rsidRPr="000E7DA4">
        <w:rPr>
          <w:rFonts w:ascii="Arial" w:hAnsi="Arial" w:cs="Arial"/>
        </w:rPr>
        <w:t xml:space="preserve"> l</w:t>
      </w:r>
      <w:r w:rsidR="00CB4EE7" w:rsidRPr="000E7DA4">
        <w:rPr>
          <w:rFonts w:ascii="Arial" w:hAnsi="Arial" w:cs="Arial"/>
        </w:rPr>
        <w:t xml:space="preserve">a </w:t>
      </w:r>
      <w:r w:rsidR="0040481B" w:rsidRPr="000E7DA4">
        <w:rPr>
          <w:rFonts w:ascii="Arial" w:hAnsi="Arial" w:cs="Arial"/>
        </w:rPr>
        <w:t>violencia política de género</w:t>
      </w:r>
      <w:r w:rsidR="00CB4EE7" w:rsidRPr="000E7DA4">
        <w:rPr>
          <w:rFonts w:ascii="Arial" w:hAnsi="Arial" w:cs="Arial"/>
        </w:rPr>
        <w:t xml:space="preserve"> </w:t>
      </w:r>
      <w:r w:rsidR="0040481B" w:rsidRPr="000E7DA4">
        <w:rPr>
          <w:rFonts w:ascii="Arial" w:hAnsi="Arial" w:cs="Arial"/>
        </w:rPr>
        <w:t>en sí es discriminación, por esa razón, de importancia, c</w:t>
      </w:r>
      <w:r w:rsidR="00CB4EE7" w:rsidRPr="000E7DA4">
        <w:rPr>
          <w:rFonts w:ascii="Arial" w:hAnsi="Arial" w:cs="Arial"/>
        </w:rPr>
        <w:t>uando</w:t>
      </w:r>
      <w:r w:rsidR="0040481B" w:rsidRPr="000E7DA4">
        <w:rPr>
          <w:rFonts w:ascii="Arial" w:hAnsi="Arial" w:cs="Arial"/>
        </w:rPr>
        <w:t xml:space="preserve"> las mujeres </w:t>
      </w:r>
      <w:r w:rsidRPr="000E7DA4">
        <w:rPr>
          <w:rFonts w:ascii="Arial" w:hAnsi="Arial" w:cs="Arial"/>
        </w:rPr>
        <w:t xml:space="preserve">que demandan son </w:t>
      </w:r>
      <w:r w:rsidR="00CB4EE7" w:rsidRPr="000E7DA4">
        <w:rPr>
          <w:rFonts w:ascii="Arial" w:hAnsi="Arial" w:cs="Arial"/>
        </w:rPr>
        <w:t>pertenecientes a una comunidad indígena</w:t>
      </w:r>
      <w:r w:rsidR="0040481B" w:rsidRPr="000E7DA4">
        <w:rPr>
          <w:rFonts w:ascii="Arial" w:hAnsi="Arial" w:cs="Arial"/>
        </w:rPr>
        <w:t xml:space="preserve"> debe </w:t>
      </w:r>
      <w:r w:rsidR="00CB4EE7" w:rsidRPr="000E7DA4">
        <w:rPr>
          <w:rFonts w:ascii="Arial" w:hAnsi="Arial" w:cs="Arial"/>
        </w:rPr>
        <w:t xml:space="preserve">aplicarse la perspectiva de género intercultural, </w:t>
      </w:r>
      <w:r w:rsidRPr="000E7DA4">
        <w:rPr>
          <w:rFonts w:ascii="Arial" w:hAnsi="Arial" w:cs="Arial"/>
        </w:rPr>
        <w:t xml:space="preserve">en la que se </w:t>
      </w:r>
      <w:r w:rsidR="0040481B" w:rsidRPr="000E7DA4">
        <w:rPr>
          <w:rFonts w:ascii="Arial" w:hAnsi="Arial" w:cs="Arial"/>
        </w:rPr>
        <w:t xml:space="preserve">tenga una dimensión de protección hacia la no discriminación comunitaria, y evitar que las mujeres que se atreven a denunciar sean excluidas por haber denunciado. </w:t>
      </w:r>
    </w:p>
    <w:p w14:paraId="0484EA5A" w14:textId="77777777" w:rsidR="00CE735E" w:rsidRPr="009B37C3" w:rsidRDefault="00CE735E" w:rsidP="00CB4EE7">
      <w:pPr>
        <w:spacing w:line="360" w:lineRule="auto"/>
        <w:jc w:val="both"/>
        <w:rPr>
          <w:rFonts w:ascii="Arial" w:hAnsi="Arial" w:cs="Arial"/>
          <w:bCs/>
          <w:lang w:eastAsia="en-US"/>
        </w:rPr>
      </w:pPr>
    </w:p>
    <w:p w14:paraId="17F68055" w14:textId="6B9AA8EA" w:rsidR="0040481B" w:rsidRPr="00C348D0" w:rsidRDefault="00C348D0" w:rsidP="00C348D0">
      <w:pPr>
        <w:spacing w:line="360" w:lineRule="auto"/>
        <w:ind w:right="49"/>
        <w:jc w:val="both"/>
        <w:rPr>
          <w:rFonts w:ascii="Arial" w:hAnsi="Arial" w:cs="Arial"/>
        </w:rPr>
      </w:pPr>
      <w:r>
        <w:rPr>
          <w:rFonts w:ascii="Arial" w:hAnsi="Arial" w:cs="Arial"/>
          <w:lang w:eastAsia="en-US"/>
        </w:rPr>
        <w:t>Al mismo tiempo</w:t>
      </w:r>
      <w:r w:rsidR="000E7DA4">
        <w:rPr>
          <w:rFonts w:ascii="Arial" w:hAnsi="Arial" w:cs="Arial"/>
          <w:lang w:eastAsia="en-US"/>
        </w:rPr>
        <w:t>,</w:t>
      </w:r>
      <w:r w:rsidR="008341D6">
        <w:rPr>
          <w:rFonts w:ascii="Arial" w:hAnsi="Arial" w:cs="Arial"/>
          <w:lang w:eastAsia="en-US"/>
        </w:rPr>
        <w:t xml:space="preserve"> se</w:t>
      </w:r>
      <w:r w:rsidR="0040481B" w:rsidRPr="009B37C3">
        <w:rPr>
          <w:rFonts w:ascii="Arial" w:hAnsi="Arial" w:cs="Arial"/>
          <w:lang w:eastAsia="en-US"/>
        </w:rPr>
        <w:t xml:space="preserve"> estima que</w:t>
      </w:r>
      <w:r>
        <w:rPr>
          <w:rFonts w:ascii="Arial" w:hAnsi="Arial" w:cs="Arial"/>
          <w:lang w:eastAsia="en-US"/>
        </w:rPr>
        <w:t>, además</w:t>
      </w:r>
      <w:r w:rsidR="0040481B" w:rsidRPr="009B37C3">
        <w:rPr>
          <w:rFonts w:ascii="Arial" w:hAnsi="Arial" w:cs="Arial"/>
          <w:lang w:eastAsia="en-US"/>
        </w:rPr>
        <w:t xml:space="preserve"> </w:t>
      </w:r>
      <w:r w:rsidR="000E7DA4">
        <w:rPr>
          <w:rFonts w:ascii="Arial" w:hAnsi="Arial" w:cs="Arial"/>
        </w:rPr>
        <w:t>de juzgarse con perspectiva de género intercultural en casos relacionados con derechos de las mujeres indígenas</w:t>
      </w:r>
      <w:r>
        <w:rPr>
          <w:rFonts w:ascii="Arial" w:hAnsi="Arial" w:cs="Arial"/>
        </w:rPr>
        <w:t xml:space="preserve"> debe aplicarse</w:t>
      </w:r>
      <w:r w:rsidR="000E7DA4">
        <w:rPr>
          <w:rFonts w:ascii="Arial" w:hAnsi="Arial" w:cs="Arial"/>
        </w:rPr>
        <w:t xml:space="preserve"> la reversión de la carga de la prueba. </w:t>
      </w:r>
      <w:r>
        <w:rPr>
          <w:rFonts w:ascii="Arial" w:hAnsi="Arial" w:cs="Arial"/>
        </w:rPr>
        <w:t xml:space="preserve">Esto es que su dicho y narrado en la demanda ya goza de veracidad, y quien igualmente quien debe probar y acreditar los hechos que configuran esa VPG debe ser la persona denunciada como infractora (SUP-REC-133/2020 y SUP-REC-102/2020). </w:t>
      </w:r>
      <w:r w:rsidR="00347B16" w:rsidRPr="00DF7368">
        <w:rPr>
          <w:rFonts w:ascii="Arial" w:hAnsi="Arial" w:cs="Arial"/>
          <w:u w:val="single"/>
        </w:rPr>
        <w:t xml:space="preserve"> </w:t>
      </w:r>
    </w:p>
    <w:p w14:paraId="68125F2B" w14:textId="77777777" w:rsidR="00AF245F" w:rsidRPr="00AF245F" w:rsidRDefault="00AF245F" w:rsidP="00AF245F">
      <w:pPr>
        <w:spacing w:line="360" w:lineRule="auto"/>
        <w:jc w:val="both"/>
        <w:rPr>
          <w:rFonts w:ascii="Arial" w:hAnsi="Arial" w:cs="Arial"/>
          <w:bCs/>
          <w:lang w:eastAsia="en-US"/>
        </w:rPr>
      </w:pPr>
    </w:p>
    <w:p w14:paraId="708A5E50" w14:textId="7097D333" w:rsidR="0040481B" w:rsidRDefault="006549DA" w:rsidP="0040481B">
      <w:pPr>
        <w:spacing w:line="360" w:lineRule="auto"/>
        <w:ind w:right="49"/>
        <w:jc w:val="both"/>
        <w:rPr>
          <w:rFonts w:ascii="Arial" w:hAnsi="Arial" w:cs="Arial"/>
          <w:b/>
          <w:bCs/>
        </w:rPr>
      </w:pPr>
      <w:r>
        <w:rPr>
          <w:rFonts w:ascii="Arial" w:hAnsi="Arial" w:cs="Arial"/>
          <w:b/>
          <w:bCs/>
        </w:rPr>
        <w:t xml:space="preserve">VI. </w:t>
      </w:r>
      <w:r w:rsidR="0040481B" w:rsidRPr="0040481B">
        <w:rPr>
          <w:rFonts w:ascii="Arial" w:hAnsi="Arial" w:cs="Arial"/>
          <w:b/>
          <w:bCs/>
        </w:rPr>
        <w:t xml:space="preserve">El género o sexo de quien comete la violencia es intrascendente para su actualización. </w:t>
      </w:r>
    </w:p>
    <w:p w14:paraId="21B10E09" w14:textId="77777777" w:rsidR="0040481B" w:rsidRPr="0040481B" w:rsidRDefault="0040481B" w:rsidP="0040481B">
      <w:pPr>
        <w:spacing w:line="360" w:lineRule="auto"/>
        <w:ind w:right="49"/>
        <w:jc w:val="both"/>
        <w:rPr>
          <w:rFonts w:ascii="Arial" w:hAnsi="Arial" w:cs="Arial"/>
          <w:b/>
          <w:bCs/>
        </w:rPr>
      </w:pPr>
    </w:p>
    <w:p w14:paraId="07511B07" w14:textId="7BD43386" w:rsidR="0040481B" w:rsidRDefault="0040481B" w:rsidP="0040481B">
      <w:pPr>
        <w:spacing w:line="360" w:lineRule="auto"/>
        <w:ind w:right="49"/>
        <w:jc w:val="both"/>
        <w:rPr>
          <w:rFonts w:ascii="Arial" w:hAnsi="Arial" w:cs="Arial"/>
          <w:b/>
          <w:bCs/>
        </w:rPr>
      </w:pPr>
      <w:r w:rsidRPr="0040481B">
        <w:rPr>
          <w:rFonts w:ascii="Arial" w:hAnsi="Arial" w:cs="Arial"/>
          <w:bCs/>
        </w:rPr>
        <w:t>En cumplimiento a la obligación de juzgar con perspectiva de género,</w:t>
      </w:r>
      <w:r w:rsidR="002F0753">
        <w:rPr>
          <w:rFonts w:ascii="Arial" w:hAnsi="Arial" w:cs="Arial"/>
          <w:bCs/>
        </w:rPr>
        <w:t xml:space="preserve"> </w:t>
      </w:r>
      <w:r w:rsidR="00C348D0">
        <w:rPr>
          <w:rFonts w:ascii="Arial" w:hAnsi="Arial" w:cs="Arial"/>
          <w:bCs/>
        </w:rPr>
        <w:t>y de la reversión de la carga de la prueba, además</w:t>
      </w:r>
      <w:r w:rsidR="00CE735E">
        <w:rPr>
          <w:rFonts w:ascii="Arial" w:hAnsi="Arial" w:cs="Arial"/>
          <w:bCs/>
        </w:rPr>
        <w:t xml:space="preserve"> la Sala Superior recientemente emitió otro criterio reforzando la interpretación de la legislación, en el que respondió a la siguiente </w:t>
      </w:r>
      <w:proofErr w:type="spellStart"/>
      <w:r w:rsidR="00CE735E">
        <w:rPr>
          <w:rFonts w:ascii="Arial" w:hAnsi="Arial" w:cs="Arial"/>
          <w:bCs/>
        </w:rPr>
        <w:t>preguta</w:t>
      </w:r>
      <w:proofErr w:type="spellEnd"/>
      <w:r w:rsidR="00C348D0">
        <w:rPr>
          <w:rFonts w:ascii="Arial" w:hAnsi="Arial" w:cs="Arial"/>
          <w:bCs/>
        </w:rPr>
        <w:t xml:space="preserve">: </w:t>
      </w:r>
      <w:r w:rsidRPr="00C348D0">
        <w:rPr>
          <w:rFonts w:ascii="Arial" w:hAnsi="Arial" w:cs="Arial"/>
        </w:rPr>
        <w:t>¿Es indispensable identificar el sexo o género de la persona agresora para que se configure la violencia política por razón de género?</w:t>
      </w:r>
      <w:r w:rsidRPr="0040481B">
        <w:rPr>
          <w:rFonts w:ascii="Arial" w:hAnsi="Arial" w:cs="Arial"/>
          <w:b/>
          <w:bCs/>
        </w:rPr>
        <w:t xml:space="preserve"> </w:t>
      </w:r>
    </w:p>
    <w:p w14:paraId="27E4DE07" w14:textId="77777777" w:rsidR="0040481B" w:rsidRPr="0040481B" w:rsidRDefault="0040481B" w:rsidP="0040481B">
      <w:pPr>
        <w:spacing w:line="360" w:lineRule="auto"/>
        <w:ind w:right="49"/>
        <w:jc w:val="both"/>
        <w:rPr>
          <w:rFonts w:ascii="Arial" w:hAnsi="Arial" w:cs="Arial"/>
          <w:b/>
          <w:bCs/>
        </w:rPr>
      </w:pPr>
    </w:p>
    <w:p w14:paraId="4D8687AD" w14:textId="277B3FCA" w:rsidR="0040481B" w:rsidRDefault="00502EF5" w:rsidP="0040481B">
      <w:pPr>
        <w:spacing w:line="360" w:lineRule="auto"/>
        <w:ind w:right="49"/>
        <w:jc w:val="both"/>
        <w:rPr>
          <w:rFonts w:ascii="Arial" w:hAnsi="Arial" w:cs="Arial"/>
        </w:rPr>
      </w:pPr>
      <w:r>
        <w:rPr>
          <w:rFonts w:ascii="Arial" w:hAnsi="Arial" w:cs="Arial"/>
        </w:rPr>
        <w:t xml:space="preserve">En los casos de VPG la </w:t>
      </w:r>
      <w:r w:rsidR="00AF245F">
        <w:rPr>
          <w:rFonts w:ascii="Arial" w:hAnsi="Arial" w:cs="Arial"/>
        </w:rPr>
        <w:t>persona</w:t>
      </w:r>
      <w:r w:rsidR="0040481B" w:rsidRPr="0040481B">
        <w:rPr>
          <w:rFonts w:ascii="Arial" w:hAnsi="Arial" w:cs="Arial"/>
        </w:rPr>
        <w:t xml:space="preserve"> agresora puede ser cualquier persona que inflige cualquier tipo de violencia contra las mujeres, la cual puede ser perpetrara indistintamente por hombres o mujeres, o por cualquier persona según la identidad de género con la que se identifican. </w:t>
      </w:r>
    </w:p>
    <w:p w14:paraId="7CC338BA" w14:textId="77777777" w:rsidR="0040481B" w:rsidRPr="0040481B" w:rsidRDefault="0040481B" w:rsidP="0040481B">
      <w:pPr>
        <w:spacing w:line="360" w:lineRule="auto"/>
        <w:ind w:right="49"/>
        <w:rPr>
          <w:rFonts w:ascii="Arial" w:hAnsi="Arial" w:cs="Arial"/>
        </w:rPr>
      </w:pPr>
    </w:p>
    <w:p w14:paraId="6860513A" w14:textId="5219C941" w:rsidR="0040481B" w:rsidRDefault="00CE735E" w:rsidP="0040481B">
      <w:pPr>
        <w:widowControl w:val="0"/>
        <w:autoSpaceDE w:val="0"/>
        <w:autoSpaceDN w:val="0"/>
        <w:adjustRightInd w:val="0"/>
        <w:spacing w:line="360" w:lineRule="auto"/>
        <w:ind w:right="49"/>
        <w:jc w:val="both"/>
        <w:rPr>
          <w:rFonts w:ascii="Arial" w:hAnsi="Arial" w:cs="Arial"/>
          <w:lang w:val="es-ES_tradnl"/>
        </w:rPr>
      </w:pPr>
      <w:r>
        <w:rPr>
          <w:rFonts w:ascii="Arial" w:hAnsi="Arial" w:cs="Arial"/>
        </w:rPr>
        <w:t>La</w:t>
      </w:r>
      <w:r w:rsidR="00502EF5">
        <w:rPr>
          <w:rFonts w:ascii="Arial" w:hAnsi="Arial" w:cs="Arial"/>
        </w:rPr>
        <w:t xml:space="preserve"> </w:t>
      </w:r>
      <w:r w:rsidR="002F0753">
        <w:rPr>
          <w:rFonts w:ascii="Arial" w:hAnsi="Arial" w:cs="Arial"/>
        </w:rPr>
        <w:t>persona</w:t>
      </w:r>
      <w:r w:rsidR="0040481B" w:rsidRPr="0040481B">
        <w:rPr>
          <w:rFonts w:ascii="Arial" w:hAnsi="Arial" w:cs="Arial"/>
          <w:lang w:val="es-ES_tradnl"/>
        </w:rPr>
        <w:t xml:space="preserve"> agresor</w:t>
      </w:r>
      <w:r w:rsidR="002F0753">
        <w:rPr>
          <w:rFonts w:ascii="Arial" w:hAnsi="Arial" w:cs="Arial"/>
          <w:lang w:val="es-ES_tradnl"/>
        </w:rPr>
        <w:t>a</w:t>
      </w:r>
      <w:r w:rsidR="0040481B" w:rsidRPr="0040481B">
        <w:rPr>
          <w:rFonts w:ascii="Arial" w:hAnsi="Arial" w:cs="Arial"/>
          <w:lang w:val="es-ES_tradnl"/>
        </w:rPr>
        <w:t xml:space="preserve"> es la que inflige cualquier tipo de violencia contra las mujeres, </w:t>
      </w:r>
      <w:r>
        <w:rPr>
          <w:rFonts w:ascii="Arial" w:hAnsi="Arial" w:cs="Arial"/>
          <w:lang w:val="es-ES_tradnl"/>
        </w:rPr>
        <w:t xml:space="preserve">y relacionado con ello, </w:t>
      </w:r>
      <w:r w:rsidR="0040481B" w:rsidRPr="0040481B">
        <w:rPr>
          <w:rFonts w:ascii="Arial" w:hAnsi="Arial" w:cs="Arial"/>
          <w:lang w:val="es-ES_tradnl"/>
        </w:rPr>
        <w:t xml:space="preserve">la ley </w:t>
      </w:r>
      <w:r w:rsidR="0040481B" w:rsidRPr="0040481B">
        <w:rPr>
          <w:rFonts w:ascii="Arial" w:hAnsi="Arial" w:cs="Arial"/>
        </w:rPr>
        <w:t xml:space="preserve">no define quién específicamente según su sexo o </w:t>
      </w:r>
      <w:r w:rsidR="0040481B" w:rsidRPr="0040481B">
        <w:rPr>
          <w:rFonts w:ascii="Arial" w:hAnsi="Arial" w:cs="Arial"/>
        </w:rPr>
        <w:lastRenderedPageBreak/>
        <w:t xml:space="preserve">identidad de género comete actos de violencia política de género, </w:t>
      </w:r>
      <w:r w:rsidR="0040481B" w:rsidRPr="0040481B">
        <w:rPr>
          <w:rFonts w:ascii="Arial" w:hAnsi="Arial" w:cs="Arial"/>
          <w:lang w:val="es-ES_tradnl"/>
        </w:rPr>
        <w:t>esto es, no precis</w:t>
      </w:r>
      <w:r w:rsidR="00502EF5">
        <w:rPr>
          <w:rFonts w:ascii="Arial" w:hAnsi="Arial" w:cs="Arial"/>
          <w:lang w:val="es-ES_tradnl"/>
        </w:rPr>
        <w:t>a</w:t>
      </w:r>
      <w:r w:rsidR="0040481B" w:rsidRPr="0040481B">
        <w:rPr>
          <w:rFonts w:ascii="Arial" w:hAnsi="Arial" w:cs="Arial"/>
          <w:lang w:val="es-ES_tradnl"/>
        </w:rPr>
        <w:t xml:space="preserve"> que solo los hombres pueden ejercer ese tipo de violencia. </w:t>
      </w:r>
    </w:p>
    <w:p w14:paraId="1FC613C4" w14:textId="77777777" w:rsidR="00502EF5" w:rsidRPr="0040481B" w:rsidRDefault="00502EF5" w:rsidP="0040481B">
      <w:pPr>
        <w:widowControl w:val="0"/>
        <w:autoSpaceDE w:val="0"/>
        <w:autoSpaceDN w:val="0"/>
        <w:adjustRightInd w:val="0"/>
        <w:spacing w:line="360" w:lineRule="auto"/>
        <w:ind w:right="49"/>
        <w:jc w:val="both"/>
        <w:rPr>
          <w:rFonts w:ascii="Arial" w:hAnsi="Arial" w:cs="Arial"/>
          <w:lang w:val="es-ES_tradnl"/>
        </w:rPr>
      </w:pPr>
    </w:p>
    <w:p w14:paraId="22D7FF84" w14:textId="21EEAAEF" w:rsidR="0040481B" w:rsidRDefault="0040481B" w:rsidP="0040481B">
      <w:pPr>
        <w:spacing w:line="360" w:lineRule="auto"/>
        <w:ind w:right="49"/>
        <w:jc w:val="both"/>
        <w:rPr>
          <w:rFonts w:ascii="Arial" w:hAnsi="Arial" w:cs="Arial"/>
        </w:rPr>
      </w:pPr>
      <w:r w:rsidRPr="0040481B">
        <w:rPr>
          <w:rFonts w:ascii="Arial" w:hAnsi="Arial" w:cs="Arial"/>
        </w:rPr>
        <w:t>En ese sentido, ello hace que la perspectiva de quienes juzgan debe enfocarse en l</w:t>
      </w:r>
      <w:r w:rsidR="002F0753">
        <w:rPr>
          <w:rFonts w:ascii="Arial" w:hAnsi="Arial" w:cs="Arial"/>
        </w:rPr>
        <w:t xml:space="preserve">os derechos humanos vulnerados de la </w:t>
      </w:r>
      <w:r w:rsidRPr="0040481B">
        <w:rPr>
          <w:rFonts w:ascii="Arial" w:hAnsi="Arial" w:cs="Arial"/>
        </w:rPr>
        <w:t xml:space="preserve">posible víctima de violencia política de género y no así, en el sexo o género de quien comete la infracción. </w:t>
      </w:r>
    </w:p>
    <w:p w14:paraId="27005609" w14:textId="77777777" w:rsidR="0040481B" w:rsidRPr="0040481B" w:rsidRDefault="0040481B" w:rsidP="0040481B">
      <w:pPr>
        <w:spacing w:line="360" w:lineRule="auto"/>
        <w:ind w:right="49"/>
        <w:jc w:val="both"/>
        <w:rPr>
          <w:rFonts w:ascii="Arial" w:hAnsi="Arial" w:cs="Arial"/>
          <w:b/>
          <w:bCs/>
        </w:rPr>
      </w:pPr>
    </w:p>
    <w:p w14:paraId="6047A29E" w14:textId="0FA13C4D" w:rsidR="0040481B" w:rsidRDefault="0040481B" w:rsidP="0040481B">
      <w:pPr>
        <w:spacing w:line="360" w:lineRule="auto"/>
        <w:ind w:right="49"/>
        <w:jc w:val="both"/>
        <w:rPr>
          <w:rFonts w:ascii="Arial" w:hAnsi="Arial" w:cs="Arial"/>
        </w:rPr>
      </w:pPr>
      <w:r w:rsidRPr="0040481B">
        <w:rPr>
          <w:rFonts w:ascii="Arial" w:hAnsi="Arial" w:cs="Arial"/>
        </w:rPr>
        <w:t xml:space="preserve">La violencia política de género es un tema de discriminación por sexo o género de la víctima. Esto es, que la persona que es agredida lo es, simplemente por tener el sexo o género con el cual se identifica, ello en términos del principio de igualdad y no discriminación, resulta </w:t>
      </w:r>
      <w:r w:rsidR="00CE735E">
        <w:rPr>
          <w:rFonts w:ascii="Arial" w:hAnsi="Arial" w:cs="Arial"/>
        </w:rPr>
        <w:t xml:space="preserve">fuera de cualquier fundamento racional y lógico. </w:t>
      </w:r>
      <w:r w:rsidRPr="0040481B">
        <w:rPr>
          <w:rFonts w:ascii="Arial" w:hAnsi="Arial" w:cs="Arial"/>
        </w:rPr>
        <w:t xml:space="preserve"> </w:t>
      </w:r>
    </w:p>
    <w:p w14:paraId="26DC5B44" w14:textId="77777777" w:rsidR="0040481B" w:rsidRPr="0040481B" w:rsidRDefault="0040481B" w:rsidP="0040481B">
      <w:pPr>
        <w:spacing w:line="360" w:lineRule="auto"/>
        <w:ind w:right="49"/>
        <w:rPr>
          <w:rFonts w:ascii="Arial" w:hAnsi="Arial" w:cs="Arial"/>
        </w:rPr>
      </w:pPr>
    </w:p>
    <w:p w14:paraId="37366BCE" w14:textId="40C31F7F" w:rsidR="0040481B" w:rsidRDefault="0040481B" w:rsidP="0040481B">
      <w:pPr>
        <w:spacing w:line="360" w:lineRule="auto"/>
        <w:ind w:right="49"/>
        <w:jc w:val="both"/>
        <w:rPr>
          <w:rFonts w:ascii="Arial" w:hAnsi="Arial" w:cs="Arial"/>
        </w:rPr>
      </w:pPr>
      <w:r w:rsidRPr="0040481B">
        <w:rPr>
          <w:rFonts w:ascii="Arial" w:hAnsi="Arial" w:cs="Arial"/>
        </w:rPr>
        <w:t>E</w:t>
      </w:r>
      <w:r w:rsidR="00CE735E">
        <w:rPr>
          <w:rFonts w:ascii="Arial" w:hAnsi="Arial" w:cs="Arial"/>
        </w:rPr>
        <w:t>se mismo razonamiento</w:t>
      </w:r>
      <w:r w:rsidRPr="0040481B">
        <w:rPr>
          <w:rFonts w:ascii="Arial" w:hAnsi="Arial" w:cs="Arial"/>
        </w:rPr>
        <w:t xml:space="preserve"> </w:t>
      </w:r>
      <w:r w:rsidR="00CE735E">
        <w:rPr>
          <w:rFonts w:ascii="Arial" w:hAnsi="Arial" w:cs="Arial"/>
        </w:rPr>
        <w:t xml:space="preserve">permea en </w:t>
      </w:r>
      <w:r w:rsidRPr="0040481B">
        <w:rPr>
          <w:rFonts w:ascii="Arial" w:hAnsi="Arial" w:cs="Arial"/>
        </w:rPr>
        <w:t xml:space="preserve">las manifestaciones de los órganos internacionales, así como de la propia Ley general de acceso a las mujeres para una vida de violencia, </w:t>
      </w:r>
      <w:r w:rsidR="00CE735E">
        <w:rPr>
          <w:rFonts w:ascii="Arial" w:hAnsi="Arial" w:cs="Arial"/>
        </w:rPr>
        <w:t>ya que, l</w:t>
      </w:r>
      <w:r w:rsidRPr="0040481B">
        <w:rPr>
          <w:rFonts w:ascii="Arial" w:hAnsi="Arial" w:cs="Arial"/>
        </w:rPr>
        <w:t xml:space="preserve">os contenidos de sus normas están enfocadas a establecer y reconocer que la violencia es un acto de discriminación hacia la mujer, sin mencionar, específicamente que la persona agresora debe ser hombre o de género masculino. </w:t>
      </w:r>
    </w:p>
    <w:p w14:paraId="74208752" w14:textId="77777777" w:rsidR="0040481B" w:rsidRPr="0040481B" w:rsidRDefault="0040481B" w:rsidP="0040481B">
      <w:pPr>
        <w:spacing w:line="360" w:lineRule="auto"/>
        <w:ind w:right="49"/>
        <w:jc w:val="both"/>
        <w:rPr>
          <w:rFonts w:ascii="Arial" w:hAnsi="Arial" w:cs="Arial"/>
        </w:rPr>
      </w:pPr>
    </w:p>
    <w:p w14:paraId="3DD28099" w14:textId="61EB01FF" w:rsidR="0040481B" w:rsidRDefault="0040481B" w:rsidP="0040481B">
      <w:pPr>
        <w:spacing w:line="360" w:lineRule="auto"/>
        <w:ind w:right="49"/>
        <w:jc w:val="both"/>
        <w:rPr>
          <w:rFonts w:ascii="Arial" w:hAnsi="Arial" w:cs="Arial"/>
        </w:rPr>
      </w:pPr>
      <w:r w:rsidRPr="0040481B">
        <w:rPr>
          <w:rFonts w:ascii="Arial" w:hAnsi="Arial" w:cs="Arial"/>
        </w:rPr>
        <w:t xml:space="preserve">Así también lo ha </w:t>
      </w:r>
      <w:r w:rsidR="00CE735E" w:rsidRPr="0040481B">
        <w:rPr>
          <w:rFonts w:ascii="Arial" w:hAnsi="Arial" w:cs="Arial"/>
        </w:rPr>
        <w:t>exteriorizado</w:t>
      </w:r>
      <w:r w:rsidRPr="0040481B">
        <w:rPr>
          <w:rFonts w:ascii="Arial" w:hAnsi="Arial" w:cs="Arial"/>
        </w:rPr>
        <w:t xml:space="preserve"> el grupo de expertos sobre violencia contra la mujer de la ONU, al señalar que, si bien la mayoría de los agresores suelen ser hombres, ello no descarta que quien sea agresora sea una mujer</w:t>
      </w:r>
      <w:r w:rsidR="00E91639">
        <w:rPr>
          <w:rFonts w:ascii="Arial" w:hAnsi="Arial" w:cs="Arial"/>
        </w:rPr>
        <w:t xml:space="preserve"> (ONU 1993)</w:t>
      </w:r>
      <w:r w:rsidRPr="0040481B">
        <w:rPr>
          <w:rFonts w:ascii="Arial" w:hAnsi="Arial" w:cs="Arial"/>
        </w:rPr>
        <w:t>.</w:t>
      </w:r>
    </w:p>
    <w:p w14:paraId="1EEBE055" w14:textId="77777777" w:rsidR="0040481B" w:rsidRPr="0040481B" w:rsidRDefault="0040481B" w:rsidP="0040481B">
      <w:pPr>
        <w:spacing w:line="360" w:lineRule="auto"/>
        <w:ind w:right="49"/>
        <w:rPr>
          <w:rFonts w:ascii="Arial" w:hAnsi="Arial" w:cs="Arial"/>
        </w:rPr>
      </w:pPr>
    </w:p>
    <w:p w14:paraId="4F9C415A" w14:textId="1BC85C21" w:rsidR="0040481B" w:rsidRPr="00CE735E" w:rsidRDefault="0040481B" w:rsidP="0040481B">
      <w:pPr>
        <w:spacing w:line="360" w:lineRule="auto"/>
        <w:ind w:right="49"/>
        <w:jc w:val="both"/>
        <w:rPr>
          <w:rFonts w:ascii="Arial" w:hAnsi="Arial" w:cs="Arial"/>
        </w:rPr>
      </w:pPr>
      <w:r w:rsidRPr="00CE735E">
        <w:rPr>
          <w:rFonts w:ascii="Arial" w:hAnsi="Arial" w:cs="Arial"/>
        </w:rPr>
        <w:t xml:space="preserve">Bajo esa </w:t>
      </w:r>
      <w:r w:rsidR="00CC682B">
        <w:rPr>
          <w:rFonts w:ascii="Arial" w:hAnsi="Arial" w:cs="Arial"/>
        </w:rPr>
        <w:t xml:space="preserve">proposición </w:t>
      </w:r>
      <w:r w:rsidR="00CE735E">
        <w:rPr>
          <w:rFonts w:ascii="Arial" w:hAnsi="Arial" w:cs="Arial"/>
        </w:rPr>
        <w:t xml:space="preserve">es </w:t>
      </w:r>
      <w:r w:rsidRPr="00CE735E">
        <w:rPr>
          <w:rFonts w:ascii="Arial" w:hAnsi="Arial" w:cs="Arial"/>
        </w:rPr>
        <w:t xml:space="preserve">intrascendente el género o sexo de la persona agresora en casos que involucren la presunta </w:t>
      </w:r>
      <w:r w:rsidR="00CE735E" w:rsidRPr="00CE735E">
        <w:rPr>
          <w:rFonts w:ascii="Arial" w:hAnsi="Arial" w:cs="Arial"/>
        </w:rPr>
        <w:t>VPG</w:t>
      </w:r>
      <w:r w:rsidRPr="00CE735E">
        <w:rPr>
          <w:rFonts w:ascii="Arial" w:hAnsi="Arial" w:cs="Arial"/>
        </w:rPr>
        <w:t>, puesto que el bien a tutelar y garantizar es la igualdad y no discriminación hacia las mujeres, así como el respeto a su dignidad.</w:t>
      </w:r>
    </w:p>
    <w:p w14:paraId="48178760" w14:textId="77777777" w:rsidR="0040481B" w:rsidRPr="00F71629" w:rsidRDefault="0040481B" w:rsidP="0040481B">
      <w:pPr>
        <w:spacing w:line="360" w:lineRule="auto"/>
        <w:ind w:right="49"/>
        <w:rPr>
          <w:rFonts w:ascii="Arial" w:hAnsi="Arial" w:cs="Arial"/>
          <w:highlight w:val="yellow"/>
        </w:rPr>
      </w:pPr>
    </w:p>
    <w:p w14:paraId="3883F662" w14:textId="3153A6B4" w:rsidR="0040481B" w:rsidRPr="00EF341F" w:rsidRDefault="00EF341F" w:rsidP="0040481B">
      <w:pPr>
        <w:spacing w:line="360" w:lineRule="auto"/>
        <w:ind w:right="49"/>
        <w:jc w:val="both"/>
        <w:rPr>
          <w:rFonts w:ascii="Arial" w:hAnsi="Arial" w:cs="Arial"/>
        </w:rPr>
      </w:pPr>
      <w:r w:rsidRPr="00EF341F">
        <w:rPr>
          <w:rFonts w:ascii="Arial" w:hAnsi="Arial" w:cs="Arial"/>
        </w:rPr>
        <w:t>El</w:t>
      </w:r>
      <w:r w:rsidR="0040481B" w:rsidRPr="00EF341F">
        <w:rPr>
          <w:rFonts w:ascii="Arial" w:hAnsi="Arial" w:cs="Arial"/>
        </w:rPr>
        <w:t xml:space="preserve"> género del sujeto activo </w:t>
      </w:r>
      <w:r w:rsidRPr="00EF341F">
        <w:rPr>
          <w:rFonts w:ascii="Arial" w:hAnsi="Arial" w:cs="Arial"/>
        </w:rPr>
        <w:t>no es significativo</w:t>
      </w:r>
      <w:r w:rsidR="0040481B" w:rsidRPr="00EF341F">
        <w:rPr>
          <w:rFonts w:ascii="Arial" w:hAnsi="Arial" w:cs="Arial"/>
        </w:rPr>
        <w:t xml:space="preserve"> para analizar si los actos que se controvierten configuran violencia política por razón de género,</w:t>
      </w:r>
      <w:r w:rsidRPr="00EF341F">
        <w:rPr>
          <w:rFonts w:ascii="Arial" w:hAnsi="Arial" w:cs="Arial"/>
        </w:rPr>
        <w:t xml:space="preserve"> </w:t>
      </w:r>
      <w:r w:rsidR="0040481B" w:rsidRPr="00EF341F">
        <w:rPr>
          <w:rFonts w:ascii="Arial" w:hAnsi="Arial" w:cs="Arial"/>
        </w:rPr>
        <w:t xml:space="preserve">lo realmente </w:t>
      </w:r>
      <w:r w:rsidR="00CC682B">
        <w:rPr>
          <w:rFonts w:ascii="Arial" w:hAnsi="Arial" w:cs="Arial"/>
        </w:rPr>
        <w:t>valioso</w:t>
      </w:r>
      <w:r w:rsidR="00CC682B" w:rsidRPr="00EF341F">
        <w:rPr>
          <w:rFonts w:ascii="Arial" w:hAnsi="Arial" w:cs="Arial"/>
        </w:rPr>
        <w:t xml:space="preserve"> </w:t>
      </w:r>
      <w:r w:rsidR="0040481B" w:rsidRPr="00EF341F">
        <w:rPr>
          <w:rFonts w:ascii="Arial" w:hAnsi="Arial" w:cs="Arial"/>
        </w:rPr>
        <w:t xml:space="preserve">es que las conductas que se le imputan a la persona agresora configuren o no este </w:t>
      </w:r>
      <w:r w:rsidR="0040481B" w:rsidRPr="00EF341F">
        <w:rPr>
          <w:rFonts w:ascii="Arial" w:hAnsi="Arial" w:cs="Arial"/>
        </w:rPr>
        <w:lastRenderedPageBreak/>
        <w:t xml:space="preserve">tipo de violencia, para poder proteger y evitar </w:t>
      </w:r>
      <w:r w:rsidR="00CC682B">
        <w:rPr>
          <w:rFonts w:ascii="Arial" w:hAnsi="Arial" w:cs="Arial"/>
        </w:rPr>
        <w:t>esos</w:t>
      </w:r>
      <w:r w:rsidR="0040481B" w:rsidRPr="00EF341F">
        <w:rPr>
          <w:rFonts w:ascii="Arial" w:hAnsi="Arial" w:cs="Arial"/>
        </w:rPr>
        <w:t xml:space="preserve"> actos contra la víctima, y en consecuencia sancionarla. </w:t>
      </w:r>
    </w:p>
    <w:p w14:paraId="2ED18368" w14:textId="77777777" w:rsidR="0040481B" w:rsidRPr="00F71629" w:rsidRDefault="0040481B" w:rsidP="0040481B">
      <w:pPr>
        <w:spacing w:line="360" w:lineRule="auto"/>
        <w:ind w:right="49"/>
        <w:rPr>
          <w:rFonts w:ascii="Arial" w:hAnsi="Arial" w:cs="Arial"/>
          <w:highlight w:val="yellow"/>
        </w:rPr>
      </w:pPr>
    </w:p>
    <w:p w14:paraId="398FDB87" w14:textId="5FC8D25E" w:rsidR="0040481B" w:rsidRDefault="00CC682B" w:rsidP="0040481B">
      <w:pPr>
        <w:spacing w:line="360" w:lineRule="auto"/>
        <w:ind w:right="49"/>
        <w:jc w:val="both"/>
        <w:rPr>
          <w:rFonts w:ascii="Arial" w:hAnsi="Arial" w:cs="Arial"/>
        </w:rPr>
      </w:pPr>
      <w:r w:rsidRPr="00CC682B">
        <w:rPr>
          <w:rFonts w:ascii="Arial" w:hAnsi="Arial" w:cs="Arial"/>
        </w:rPr>
        <w:t>En ese sentido, la justicia electoral siempre debe abocarse a lo realmente relevante</w:t>
      </w:r>
      <w:r>
        <w:rPr>
          <w:rFonts w:ascii="Arial" w:hAnsi="Arial" w:cs="Arial"/>
        </w:rPr>
        <w:t xml:space="preserve">, lo cual se identifica con </w:t>
      </w:r>
      <w:r w:rsidR="0040481B" w:rsidRPr="00CC682B">
        <w:rPr>
          <w:rFonts w:ascii="Arial" w:hAnsi="Arial" w:cs="Arial"/>
        </w:rPr>
        <w:t xml:space="preserve">la intensidad de las conductas, la reproducción de estereotipos de género, las conductas que reproducen relaciones de poder para invisibilizar a las mujeres en los cargos públicos, </w:t>
      </w:r>
      <w:r w:rsidRPr="00CC682B">
        <w:rPr>
          <w:rFonts w:ascii="Arial" w:hAnsi="Arial" w:cs="Arial"/>
        </w:rPr>
        <w:t>así,</w:t>
      </w:r>
      <w:r w:rsidR="0040481B" w:rsidRPr="00CC682B">
        <w:rPr>
          <w:rFonts w:ascii="Arial" w:hAnsi="Arial" w:cs="Arial"/>
        </w:rPr>
        <w:t xml:space="preserve"> quien comete la agresión, </w:t>
      </w:r>
      <w:r w:rsidR="002F0753" w:rsidRPr="00CC682B">
        <w:rPr>
          <w:rFonts w:ascii="Arial" w:hAnsi="Arial" w:cs="Arial"/>
        </w:rPr>
        <w:t>no es un elemento</w:t>
      </w:r>
      <w:r>
        <w:rPr>
          <w:rFonts w:ascii="Arial" w:hAnsi="Arial" w:cs="Arial"/>
        </w:rPr>
        <w:t xml:space="preserve"> configurativo, </w:t>
      </w:r>
      <w:r w:rsidR="0040481B" w:rsidRPr="00CC682B">
        <w:rPr>
          <w:rFonts w:ascii="Arial" w:hAnsi="Arial" w:cs="Arial"/>
        </w:rPr>
        <w:t xml:space="preserve">para analizar la violencia política por razón de género. </w:t>
      </w:r>
    </w:p>
    <w:p w14:paraId="363B3D49" w14:textId="77777777" w:rsidR="00CC682B" w:rsidRDefault="00CC682B" w:rsidP="0040481B">
      <w:pPr>
        <w:spacing w:line="360" w:lineRule="auto"/>
        <w:ind w:right="49"/>
        <w:jc w:val="both"/>
        <w:rPr>
          <w:rFonts w:ascii="Arial" w:hAnsi="Arial" w:cs="Arial"/>
        </w:rPr>
      </w:pPr>
    </w:p>
    <w:p w14:paraId="58FC0103" w14:textId="167B643A" w:rsidR="0040481B" w:rsidRPr="00E27ECE" w:rsidRDefault="00E27ECE" w:rsidP="00CC682B">
      <w:pPr>
        <w:pStyle w:val="NormalWeb"/>
        <w:spacing w:before="0" w:beforeAutospacing="0" w:after="0" w:afterAutospacing="0" w:line="360" w:lineRule="auto"/>
        <w:ind w:right="49"/>
        <w:jc w:val="both"/>
        <w:textAlignment w:val="baseline"/>
        <w:rPr>
          <w:rFonts w:ascii="Arial" w:hAnsi="Arial" w:cs="Arial"/>
        </w:rPr>
      </w:pPr>
      <w:r w:rsidRPr="00E27ECE">
        <w:rPr>
          <w:rFonts w:ascii="Arial" w:hAnsi="Arial" w:cs="Arial"/>
          <w:color w:val="000000"/>
        </w:rPr>
        <w:t>De esta manera, e</w:t>
      </w:r>
      <w:r w:rsidR="00CC682B" w:rsidRPr="00E27ECE">
        <w:rPr>
          <w:rFonts w:ascii="Arial" w:hAnsi="Arial" w:cs="Arial"/>
          <w:color w:val="000000"/>
        </w:rPr>
        <w:t>s indistinto el sexo o género de quien comete la violencia política de género, si l</w:t>
      </w:r>
      <w:r w:rsidR="00CC682B" w:rsidRPr="00E27ECE">
        <w:rPr>
          <w:rFonts w:ascii="Arial" w:hAnsi="Arial" w:cs="Arial"/>
        </w:rPr>
        <w:t xml:space="preserve">a violencia contra las mujeres se entiende como una expresión de las inequidades de género o sexo, por </w:t>
      </w:r>
      <w:proofErr w:type="gramStart"/>
      <w:r w:rsidR="00CC682B" w:rsidRPr="00E27ECE">
        <w:rPr>
          <w:rFonts w:ascii="Arial" w:hAnsi="Arial" w:cs="Arial"/>
        </w:rPr>
        <w:t>tanto</w:t>
      </w:r>
      <w:proofErr w:type="gramEnd"/>
      <w:r w:rsidR="00CC682B" w:rsidRPr="00E27ECE">
        <w:rPr>
          <w:rFonts w:ascii="Arial" w:hAnsi="Arial" w:cs="Arial"/>
        </w:rPr>
        <w:t xml:space="preserve"> puede perpetrarse indistintamente por un hombre, una mujer o una persona con cualquier identidad de género</w:t>
      </w:r>
      <w:bookmarkStart w:id="1" w:name="_Hlk56681629"/>
      <w:r w:rsidR="00CC682B" w:rsidRPr="00E27ECE">
        <w:rPr>
          <w:rFonts w:ascii="Arial" w:hAnsi="Arial" w:cs="Arial"/>
        </w:rPr>
        <w:t xml:space="preserve">. </w:t>
      </w:r>
      <w:bookmarkEnd w:id="1"/>
    </w:p>
    <w:p w14:paraId="4D0210B5" w14:textId="77777777" w:rsidR="00CC682B" w:rsidRPr="00CC682B" w:rsidRDefault="00CC682B" w:rsidP="00CC682B">
      <w:pPr>
        <w:pStyle w:val="NormalWeb"/>
        <w:spacing w:before="0" w:beforeAutospacing="0" w:after="0" w:afterAutospacing="0" w:line="360" w:lineRule="auto"/>
        <w:ind w:right="49"/>
        <w:jc w:val="both"/>
        <w:textAlignment w:val="baseline"/>
        <w:rPr>
          <w:rFonts w:ascii="Arial" w:hAnsi="Arial" w:cs="Arial"/>
          <w:b/>
          <w:bCs/>
          <w:color w:val="000000"/>
          <w:highlight w:val="yellow"/>
        </w:rPr>
      </w:pPr>
    </w:p>
    <w:p w14:paraId="5EE5A049" w14:textId="758CA17A" w:rsidR="0040481B" w:rsidRPr="0065032D" w:rsidRDefault="0065032D" w:rsidP="0040481B">
      <w:pPr>
        <w:spacing w:line="360" w:lineRule="auto"/>
        <w:ind w:right="49"/>
        <w:jc w:val="both"/>
        <w:rPr>
          <w:rFonts w:ascii="Arial" w:hAnsi="Arial" w:cs="Arial"/>
        </w:rPr>
      </w:pPr>
      <w:r w:rsidRPr="0065032D">
        <w:rPr>
          <w:rFonts w:ascii="Arial" w:hAnsi="Arial" w:cs="Arial"/>
        </w:rPr>
        <w:t>El hecho de que el sexo o género de quien comete VPG sea intrascendente</w:t>
      </w:r>
      <w:r w:rsidR="0040481B" w:rsidRPr="0065032D">
        <w:rPr>
          <w:rFonts w:ascii="Arial" w:hAnsi="Arial" w:cs="Arial"/>
        </w:rPr>
        <w:t xml:space="preserve"> </w:t>
      </w:r>
      <w:r w:rsidRPr="0065032D">
        <w:rPr>
          <w:rFonts w:ascii="Arial" w:hAnsi="Arial" w:cs="Arial"/>
        </w:rPr>
        <w:t xml:space="preserve">acarrea de fondo </w:t>
      </w:r>
      <w:r w:rsidR="0040481B" w:rsidRPr="0065032D">
        <w:rPr>
          <w:rFonts w:ascii="Arial" w:hAnsi="Arial" w:cs="Arial"/>
        </w:rPr>
        <w:t>desdibuja</w:t>
      </w:r>
      <w:r w:rsidRPr="0065032D">
        <w:rPr>
          <w:rFonts w:ascii="Arial" w:hAnsi="Arial" w:cs="Arial"/>
        </w:rPr>
        <w:t>r</w:t>
      </w:r>
      <w:r w:rsidR="0040481B" w:rsidRPr="0065032D">
        <w:rPr>
          <w:rFonts w:ascii="Arial" w:hAnsi="Arial" w:cs="Arial"/>
        </w:rPr>
        <w:t xml:space="preserve"> que la reproducción de actos que pueden configurar violencia política de género provenga de un</w:t>
      </w:r>
      <w:r w:rsidRPr="0065032D">
        <w:rPr>
          <w:rFonts w:ascii="Arial" w:hAnsi="Arial" w:cs="Arial"/>
        </w:rPr>
        <w:t>a</w:t>
      </w:r>
      <w:r w:rsidR="0040481B" w:rsidRPr="0065032D">
        <w:rPr>
          <w:rFonts w:ascii="Arial" w:hAnsi="Arial" w:cs="Arial"/>
        </w:rPr>
        <w:t xml:space="preserve"> </w:t>
      </w:r>
      <w:r w:rsidRPr="0065032D">
        <w:rPr>
          <w:rFonts w:ascii="Arial" w:hAnsi="Arial" w:cs="Arial"/>
        </w:rPr>
        <w:t>simbolización</w:t>
      </w:r>
      <w:r w:rsidR="0040481B" w:rsidRPr="0065032D">
        <w:rPr>
          <w:rFonts w:ascii="Arial" w:hAnsi="Arial" w:cs="Arial"/>
        </w:rPr>
        <w:t xml:space="preserve"> patriarcal que únicamente puede ser reproducido por hombres o del género masculino</w:t>
      </w:r>
      <w:r w:rsidRPr="0065032D">
        <w:rPr>
          <w:rFonts w:ascii="Arial" w:hAnsi="Arial" w:cs="Arial"/>
        </w:rPr>
        <w:t xml:space="preserve"> y no de personas con otro género, puesto que, es verdad que </w:t>
      </w:r>
      <w:r w:rsidR="0040481B" w:rsidRPr="0065032D">
        <w:rPr>
          <w:rFonts w:ascii="Arial" w:hAnsi="Arial" w:cs="Arial"/>
        </w:rPr>
        <w:t xml:space="preserve">la violencia contra las mujeres se produce y a su vez se perpetúa, más allá de del sexo o género de quien la comete. </w:t>
      </w:r>
    </w:p>
    <w:p w14:paraId="185099DD" w14:textId="77777777" w:rsidR="00CC682B" w:rsidRPr="00F71629" w:rsidRDefault="00CC682B" w:rsidP="0040481B">
      <w:pPr>
        <w:spacing w:line="360" w:lineRule="auto"/>
        <w:ind w:right="49"/>
        <w:jc w:val="both"/>
        <w:rPr>
          <w:rFonts w:ascii="Arial" w:hAnsi="Arial" w:cs="Arial"/>
          <w:highlight w:val="yellow"/>
        </w:rPr>
      </w:pPr>
    </w:p>
    <w:p w14:paraId="25A8F549" w14:textId="29DD10BF" w:rsidR="0040481B" w:rsidRPr="0065032D" w:rsidRDefault="0040481B" w:rsidP="0040481B">
      <w:pPr>
        <w:spacing w:line="360" w:lineRule="auto"/>
        <w:ind w:right="49"/>
        <w:jc w:val="both"/>
        <w:rPr>
          <w:rFonts w:ascii="Arial" w:hAnsi="Arial" w:cs="Arial"/>
        </w:rPr>
      </w:pPr>
      <w:r w:rsidRPr="0065032D">
        <w:rPr>
          <w:rFonts w:ascii="Arial" w:hAnsi="Arial" w:cs="Arial"/>
        </w:rPr>
        <w:t xml:space="preserve">Este enfoque da cuenta del sistema de relaciones que se establecen entre los sexos en una sociedad particular, con base en las características, roles, referentes de valor y oportunidades </w:t>
      </w:r>
      <w:r w:rsidR="0065032D" w:rsidRPr="0065032D">
        <w:rPr>
          <w:rFonts w:ascii="Arial" w:hAnsi="Arial" w:cs="Arial"/>
        </w:rPr>
        <w:t>que la sociedad</w:t>
      </w:r>
      <w:r w:rsidRPr="0065032D">
        <w:rPr>
          <w:rFonts w:ascii="Arial" w:hAnsi="Arial" w:cs="Arial"/>
        </w:rPr>
        <w:t xml:space="preserve"> asigna a cada uno. En ese sentido, identifica las relaciones determinadas culturalmente, susceptibles de ser transf</w:t>
      </w:r>
      <w:r w:rsidR="00CC682B" w:rsidRPr="0065032D">
        <w:rPr>
          <w:rFonts w:ascii="Arial" w:hAnsi="Arial" w:cs="Arial"/>
        </w:rPr>
        <w:t>o</w:t>
      </w:r>
      <w:r w:rsidRPr="0065032D">
        <w:rPr>
          <w:rFonts w:ascii="Arial" w:hAnsi="Arial" w:cs="Arial"/>
        </w:rPr>
        <w:t xml:space="preserve">rmadas, y no particularidades biológicas determinadas por el sexo. </w:t>
      </w:r>
    </w:p>
    <w:p w14:paraId="2D5CD5A6" w14:textId="77777777" w:rsidR="0040481B" w:rsidRPr="00F71629" w:rsidRDefault="0040481B" w:rsidP="0040481B">
      <w:pPr>
        <w:spacing w:line="360" w:lineRule="auto"/>
        <w:ind w:right="49"/>
        <w:jc w:val="both"/>
        <w:rPr>
          <w:rFonts w:ascii="Arial" w:hAnsi="Arial" w:cs="Arial"/>
          <w:highlight w:val="yellow"/>
        </w:rPr>
      </w:pPr>
    </w:p>
    <w:p w14:paraId="5DD6A67E" w14:textId="590ECE7E" w:rsidR="0040481B" w:rsidRPr="0065032D" w:rsidRDefault="0040481B" w:rsidP="0040481B">
      <w:pPr>
        <w:spacing w:line="360" w:lineRule="auto"/>
        <w:ind w:right="49"/>
        <w:jc w:val="both"/>
        <w:rPr>
          <w:rFonts w:ascii="Arial" w:hAnsi="Arial" w:cs="Arial"/>
        </w:rPr>
      </w:pPr>
      <w:r w:rsidRPr="0065032D">
        <w:rPr>
          <w:rFonts w:ascii="Arial" w:hAnsi="Arial" w:cs="Arial"/>
        </w:rPr>
        <w:t xml:space="preserve">Por tanto, para juzgar con perspectiva de género las diferencias entre hombres y mujeres y la asignación de los roles de quienes son agresores de la violencia política de género, es un elemento superado por la forma en que la conducta es </w:t>
      </w:r>
      <w:r w:rsidRPr="0065032D">
        <w:rPr>
          <w:rFonts w:ascii="Arial" w:hAnsi="Arial" w:cs="Arial"/>
        </w:rPr>
        <w:lastRenderedPageBreak/>
        <w:t>perpetrada a una mujer por el hecho de serlo</w:t>
      </w:r>
      <w:r w:rsidR="0065032D">
        <w:rPr>
          <w:rFonts w:ascii="Arial" w:hAnsi="Arial" w:cs="Arial"/>
        </w:rPr>
        <w:t xml:space="preserve">, lo cual, termina por ser lo realmente importante a atacar y erradicar. </w:t>
      </w:r>
      <w:r w:rsidRPr="0065032D">
        <w:rPr>
          <w:rFonts w:ascii="Arial" w:hAnsi="Arial" w:cs="Arial"/>
        </w:rPr>
        <w:t xml:space="preserve">  </w:t>
      </w:r>
    </w:p>
    <w:p w14:paraId="236A6D69" w14:textId="77777777" w:rsidR="0040481B" w:rsidRPr="0065032D" w:rsidRDefault="0040481B" w:rsidP="0040481B">
      <w:pPr>
        <w:spacing w:line="360" w:lineRule="auto"/>
        <w:ind w:right="49"/>
        <w:jc w:val="both"/>
        <w:rPr>
          <w:rFonts w:ascii="Arial" w:hAnsi="Arial" w:cs="Arial"/>
        </w:rPr>
      </w:pPr>
    </w:p>
    <w:p w14:paraId="0EBE19BA" w14:textId="63D1C8A4" w:rsidR="0040481B" w:rsidRPr="0065032D" w:rsidRDefault="0040481B" w:rsidP="0040481B">
      <w:pPr>
        <w:spacing w:line="360" w:lineRule="auto"/>
        <w:ind w:right="49"/>
        <w:jc w:val="both"/>
        <w:rPr>
          <w:rFonts w:ascii="Arial" w:hAnsi="Arial" w:cs="Arial"/>
        </w:rPr>
      </w:pPr>
      <w:r w:rsidRPr="0065032D">
        <w:rPr>
          <w:rFonts w:ascii="Arial" w:hAnsi="Arial" w:cs="Arial"/>
        </w:rPr>
        <w:t>Así, esta perspectiva concibe la violencia contra las mujeres como un abuso de poder en una estructura social que favorece que se agreda a las mujeres, que privilegia los elementos masculinos sobre los femeninos, más allá del sexo o genero de quien la comete</w:t>
      </w:r>
      <w:r w:rsidR="0065032D" w:rsidRPr="0065032D">
        <w:rPr>
          <w:rFonts w:ascii="Arial" w:hAnsi="Arial" w:cs="Arial"/>
        </w:rPr>
        <w:t xml:space="preserve"> porque las mujeres también pueden reproducir estereotipos del sistema patriarcal o de roles masculinos de discriminación. </w:t>
      </w:r>
    </w:p>
    <w:p w14:paraId="6157894B" w14:textId="77777777" w:rsidR="0040481B" w:rsidRPr="008F56AD" w:rsidRDefault="0040481B" w:rsidP="0040481B">
      <w:pPr>
        <w:spacing w:line="360" w:lineRule="auto"/>
        <w:ind w:right="49"/>
        <w:jc w:val="both"/>
        <w:rPr>
          <w:rFonts w:ascii="Arial" w:hAnsi="Arial" w:cs="Arial"/>
        </w:rPr>
      </w:pPr>
    </w:p>
    <w:p w14:paraId="2DEDA1E7" w14:textId="3736BD1C" w:rsidR="0040481B" w:rsidRPr="008F56AD" w:rsidRDefault="0040481B" w:rsidP="0040481B">
      <w:pPr>
        <w:spacing w:line="360" w:lineRule="auto"/>
        <w:ind w:right="49"/>
        <w:jc w:val="both"/>
        <w:rPr>
          <w:rFonts w:ascii="Arial" w:hAnsi="Arial" w:cs="Arial"/>
        </w:rPr>
      </w:pPr>
      <w:r w:rsidRPr="008F56AD">
        <w:rPr>
          <w:rFonts w:ascii="Arial" w:hAnsi="Arial" w:cs="Arial"/>
        </w:rPr>
        <w:t xml:space="preserve">En ese sentido para identificar quién comete la violencia política de género, previo a pasar el test de los elementos de su configuración en base con los elementos de prueba </w:t>
      </w:r>
      <w:r w:rsidR="0065032D" w:rsidRPr="008F56AD">
        <w:rPr>
          <w:rFonts w:ascii="Arial" w:hAnsi="Arial" w:cs="Arial"/>
        </w:rPr>
        <w:t>que establece la jurisprudencia de la</w:t>
      </w:r>
      <w:r w:rsidRPr="008F56AD">
        <w:rPr>
          <w:rFonts w:ascii="Arial" w:hAnsi="Arial" w:cs="Arial"/>
        </w:rPr>
        <w:t xml:space="preserve"> Sala Superior, </w:t>
      </w:r>
      <w:r w:rsidR="0065032D" w:rsidRPr="008F56AD">
        <w:rPr>
          <w:rFonts w:ascii="Arial" w:hAnsi="Arial" w:cs="Arial"/>
        </w:rPr>
        <w:t>si bien debe identificarse</w:t>
      </w:r>
      <w:r w:rsidRPr="008F56AD">
        <w:rPr>
          <w:rFonts w:ascii="Arial" w:hAnsi="Arial" w:cs="Arial"/>
        </w:rPr>
        <w:t xml:space="preserve"> el sexo o género de las personas demandadas respecto a conductas que pueden configurar la violencia política de género, así como su relación con la posible víctima, </w:t>
      </w:r>
      <w:r w:rsidR="008F56AD" w:rsidRPr="008F56AD">
        <w:rPr>
          <w:rFonts w:ascii="Arial" w:hAnsi="Arial" w:cs="Arial"/>
        </w:rPr>
        <w:t xml:space="preserve">ello solo es un elemento que abona al </w:t>
      </w:r>
      <w:r w:rsidRPr="008F56AD">
        <w:rPr>
          <w:rFonts w:ascii="Arial" w:hAnsi="Arial" w:cs="Arial"/>
        </w:rPr>
        <w:t>estudio de la posible configuración de la violencia política de género.</w:t>
      </w:r>
    </w:p>
    <w:p w14:paraId="4E44A532" w14:textId="77777777" w:rsidR="0040481B" w:rsidRPr="00F71629" w:rsidRDefault="0040481B" w:rsidP="0040481B">
      <w:pPr>
        <w:spacing w:line="360" w:lineRule="auto"/>
        <w:ind w:right="49"/>
        <w:jc w:val="both"/>
        <w:rPr>
          <w:rFonts w:ascii="Arial" w:hAnsi="Arial" w:cs="Arial"/>
          <w:highlight w:val="yellow"/>
        </w:rPr>
      </w:pPr>
    </w:p>
    <w:p w14:paraId="1068F0A4" w14:textId="0CB9A552" w:rsidR="0040481B" w:rsidRDefault="0065032D" w:rsidP="0040481B">
      <w:pPr>
        <w:spacing w:line="360" w:lineRule="auto"/>
        <w:ind w:right="49"/>
        <w:jc w:val="both"/>
        <w:rPr>
          <w:rFonts w:ascii="Arial" w:hAnsi="Arial" w:cs="Arial"/>
        </w:rPr>
      </w:pPr>
      <w:r w:rsidRPr="0065032D">
        <w:rPr>
          <w:rFonts w:ascii="Arial" w:hAnsi="Arial" w:cs="Arial"/>
        </w:rPr>
        <w:t>Cabe precisar</w:t>
      </w:r>
      <w:r w:rsidR="0040481B" w:rsidRPr="0065032D">
        <w:rPr>
          <w:rFonts w:ascii="Arial" w:hAnsi="Arial" w:cs="Arial"/>
        </w:rPr>
        <w:t xml:space="preserve"> que los actos u omisiones de todas las personas, con independencia de su sexo o género, pueden ser susceptibles de traducirse en violencia política </w:t>
      </w:r>
      <w:proofErr w:type="gramStart"/>
      <w:r w:rsidR="0040481B" w:rsidRPr="0065032D">
        <w:rPr>
          <w:rFonts w:ascii="Arial" w:hAnsi="Arial" w:cs="Arial"/>
        </w:rPr>
        <w:t>en razón de</w:t>
      </w:r>
      <w:proofErr w:type="gramEnd"/>
      <w:r w:rsidR="0040481B" w:rsidRPr="0065032D">
        <w:rPr>
          <w:rFonts w:ascii="Arial" w:hAnsi="Arial" w:cs="Arial"/>
        </w:rPr>
        <w:t xml:space="preserve"> género y, en consecuencia, ser sancionadas por la vía o vías correspondientes (electoral, administrativa, penal</w:t>
      </w:r>
      <w:r w:rsidR="00E27ECE" w:rsidRPr="0065032D">
        <w:rPr>
          <w:rFonts w:ascii="Arial" w:hAnsi="Arial" w:cs="Arial"/>
        </w:rPr>
        <w:t>).</w:t>
      </w:r>
    </w:p>
    <w:p w14:paraId="568D5909" w14:textId="079DA4F6" w:rsidR="0040481B" w:rsidRDefault="0040481B" w:rsidP="0040481B">
      <w:pPr>
        <w:autoSpaceDE w:val="0"/>
        <w:autoSpaceDN w:val="0"/>
        <w:adjustRightInd w:val="0"/>
        <w:spacing w:line="360" w:lineRule="auto"/>
        <w:ind w:right="49"/>
        <w:jc w:val="both"/>
        <w:rPr>
          <w:rFonts w:ascii="Arial" w:hAnsi="Arial" w:cs="Arial"/>
        </w:rPr>
      </w:pPr>
    </w:p>
    <w:p w14:paraId="45CE1A0E" w14:textId="1FD96E16" w:rsidR="0040481B" w:rsidRDefault="00AF245F" w:rsidP="0040481B">
      <w:pPr>
        <w:autoSpaceDE w:val="0"/>
        <w:autoSpaceDN w:val="0"/>
        <w:adjustRightInd w:val="0"/>
        <w:spacing w:line="360" w:lineRule="auto"/>
        <w:ind w:right="49"/>
        <w:jc w:val="both"/>
        <w:rPr>
          <w:rFonts w:ascii="Arial" w:hAnsi="Arial" w:cs="Arial"/>
          <w:b/>
          <w:bCs/>
        </w:rPr>
      </w:pPr>
      <w:r>
        <w:rPr>
          <w:rFonts w:ascii="Arial" w:hAnsi="Arial" w:cs="Arial"/>
          <w:b/>
          <w:bCs/>
        </w:rPr>
        <w:t xml:space="preserve">VII. </w:t>
      </w:r>
      <w:r w:rsidR="0040481B" w:rsidRPr="004F7103">
        <w:rPr>
          <w:rFonts w:ascii="Arial" w:hAnsi="Arial" w:cs="Arial"/>
          <w:b/>
          <w:bCs/>
        </w:rPr>
        <w:t>Conclusiones</w:t>
      </w:r>
    </w:p>
    <w:p w14:paraId="7360F324" w14:textId="695CB246" w:rsidR="0041290E" w:rsidRDefault="0041290E" w:rsidP="0040481B">
      <w:pPr>
        <w:autoSpaceDE w:val="0"/>
        <w:autoSpaceDN w:val="0"/>
        <w:adjustRightInd w:val="0"/>
        <w:spacing w:line="360" w:lineRule="auto"/>
        <w:ind w:right="49"/>
        <w:jc w:val="both"/>
        <w:rPr>
          <w:rFonts w:ascii="Arial" w:hAnsi="Arial" w:cs="Arial"/>
          <w:b/>
          <w:bCs/>
        </w:rPr>
      </w:pPr>
    </w:p>
    <w:p w14:paraId="6284F087" w14:textId="779B3C31" w:rsidR="0041290E" w:rsidRDefault="0041290E" w:rsidP="0041290E">
      <w:pPr>
        <w:autoSpaceDE w:val="0"/>
        <w:autoSpaceDN w:val="0"/>
        <w:adjustRightInd w:val="0"/>
        <w:spacing w:line="360" w:lineRule="auto"/>
        <w:jc w:val="both"/>
        <w:rPr>
          <w:rFonts w:ascii="Arial" w:hAnsi="Arial" w:cs="Arial"/>
          <w:bCs/>
        </w:rPr>
      </w:pPr>
      <w:r>
        <w:rPr>
          <w:rFonts w:ascii="Arial" w:hAnsi="Arial" w:cs="Arial"/>
          <w:bCs/>
        </w:rPr>
        <w:t xml:space="preserve">En conclusión, las sentencias referidas en los apartados anteriores sobre VPG emitidas en 2020 han generado </w:t>
      </w:r>
      <w:r w:rsidRPr="00AF245F">
        <w:rPr>
          <w:rFonts w:ascii="Arial" w:hAnsi="Arial" w:cs="Arial"/>
          <w:bCs/>
        </w:rPr>
        <w:t xml:space="preserve">enfoque de la decisión </w:t>
      </w:r>
      <w:r>
        <w:rPr>
          <w:rFonts w:ascii="Arial" w:hAnsi="Arial" w:cs="Arial"/>
          <w:bCs/>
        </w:rPr>
        <w:t xml:space="preserve">con un estándar </w:t>
      </w:r>
      <w:r w:rsidRPr="00AF245F">
        <w:rPr>
          <w:rFonts w:ascii="Arial" w:hAnsi="Arial" w:cs="Arial"/>
          <w:bCs/>
        </w:rPr>
        <w:t>reforzad</w:t>
      </w:r>
      <w:r>
        <w:rPr>
          <w:rFonts w:ascii="Arial" w:hAnsi="Arial" w:cs="Arial"/>
          <w:bCs/>
        </w:rPr>
        <w:t>o</w:t>
      </w:r>
      <w:r w:rsidRPr="00AF245F">
        <w:rPr>
          <w:rFonts w:ascii="Arial" w:hAnsi="Arial" w:cs="Arial"/>
          <w:bCs/>
        </w:rPr>
        <w:t xml:space="preserve"> respecto de: 1) la valoración probatoria, </w:t>
      </w:r>
      <w:r>
        <w:rPr>
          <w:rFonts w:ascii="Arial" w:hAnsi="Arial" w:cs="Arial"/>
          <w:bCs/>
        </w:rPr>
        <w:t>2) reversión de la carga de la prueba, 3) l</w:t>
      </w:r>
      <w:r w:rsidRPr="00AF245F">
        <w:rPr>
          <w:rFonts w:ascii="Arial" w:hAnsi="Arial" w:cs="Arial"/>
          <w:bCs/>
        </w:rPr>
        <w:t>a perspectiva de género</w:t>
      </w:r>
      <w:r>
        <w:rPr>
          <w:rFonts w:ascii="Arial" w:hAnsi="Arial" w:cs="Arial"/>
          <w:bCs/>
        </w:rPr>
        <w:t xml:space="preserve">, 4) la perspectiva de género </w:t>
      </w:r>
      <w:r w:rsidRPr="00AF245F">
        <w:rPr>
          <w:rFonts w:ascii="Arial" w:hAnsi="Arial" w:cs="Arial"/>
          <w:bCs/>
        </w:rPr>
        <w:t>intercultural</w:t>
      </w:r>
      <w:r>
        <w:rPr>
          <w:rFonts w:ascii="Arial" w:hAnsi="Arial" w:cs="Arial"/>
          <w:bCs/>
        </w:rPr>
        <w:t>, 5</w:t>
      </w:r>
      <w:r w:rsidRPr="00AF245F">
        <w:rPr>
          <w:rFonts w:ascii="Arial" w:hAnsi="Arial" w:cs="Arial"/>
          <w:bCs/>
        </w:rPr>
        <w:t xml:space="preserve">) </w:t>
      </w:r>
      <w:r>
        <w:rPr>
          <w:rFonts w:ascii="Arial" w:hAnsi="Arial" w:cs="Arial"/>
          <w:bCs/>
        </w:rPr>
        <w:t>se trata de acciones discriminatorias con</w:t>
      </w:r>
      <w:r w:rsidRPr="00AF245F">
        <w:rPr>
          <w:rFonts w:ascii="Arial" w:hAnsi="Arial" w:cs="Arial"/>
          <w:bCs/>
        </w:rPr>
        <w:t xml:space="preserve"> posible doble </w:t>
      </w:r>
      <w:r>
        <w:rPr>
          <w:rFonts w:ascii="Arial" w:hAnsi="Arial" w:cs="Arial"/>
          <w:bCs/>
        </w:rPr>
        <w:t xml:space="preserve">o múltiple </w:t>
      </w:r>
      <w:r w:rsidRPr="00AF245F">
        <w:rPr>
          <w:rFonts w:ascii="Arial" w:hAnsi="Arial" w:cs="Arial"/>
          <w:bCs/>
        </w:rPr>
        <w:t>discriminación,</w:t>
      </w:r>
      <w:r>
        <w:rPr>
          <w:rFonts w:ascii="Arial" w:hAnsi="Arial" w:cs="Arial"/>
          <w:bCs/>
        </w:rPr>
        <w:t xml:space="preserve"> y</w:t>
      </w:r>
      <w:r w:rsidRPr="00AF245F">
        <w:rPr>
          <w:rFonts w:ascii="Arial" w:hAnsi="Arial" w:cs="Arial"/>
          <w:bCs/>
        </w:rPr>
        <w:t xml:space="preserve"> </w:t>
      </w:r>
      <w:r>
        <w:rPr>
          <w:rFonts w:ascii="Arial" w:hAnsi="Arial" w:cs="Arial"/>
          <w:bCs/>
        </w:rPr>
        <w:t>6</w:t>
      </w:r>
      <w:r w:rsidRPr="00AF245F">
        <w:rPr>
          <w:rFonts w:ascii="Arial" w:hAnsi="Arial" w:cs="Arial"/>
          <w:bCs/>
        </w:rPr>
        <w:t>)</w:t>
      </w:r>
      <w:r>
        <w:rPr>
          <w:rFonts w:ascii="Arial" w:hAnsi="Arial" w:cs="Arial"/>
          <w:bCs/>
        </w:rPr>
        <w:t xml:space="preserve"> valoración del género o sexo de quien la comete es intrascendente. </w:t>
      </w:r>
    </w:p>
    <w:p w14:paraId="19611DF0" w14:textId="3DC636A9" w:rsidR="00080F6A" w:rsidRDefault="00080F6A" w:rsidP="0041290E">
      <w:pPr>
        <w:autoSpaceDE w:val="0"/>
        <w:autoSpaceDN w:val="0"/>
        <w:adjustRightInd w:val="0"/>
        <w:spacing w:line="360" w:lineRule="auto"/>
        <w:jc w:val="both"/>
        <w:rPr>
          <w:rFonts w:ascii="Arial" w:hAnsi="Arial" w:cs="Arial"/>
          <w:bCs/>
        </w:rPr>
      </w:pPr>
    </w:p>
    <w:p w14:paraId="436E2AFA" w14:textId="77777777" w:rsidR="00080F6A" w:rsidRDefault="00080F6A" w:rsidP="00080F6A">
      <w:pPr>
        <w:autoSpaceDE w:val="0"/>
        <w:autoSpaceDN w:val="0"/>
        <w:adjustRightInd w:val="0"/>
        <w:spacing w:line="360" w:lineRule="auto"/>
        <w:jc w:val="both"/>
        <w:rPr>
          <w:rFonts w:ascii="Arial" w:hAnsi="Arial" w:cs="Arial"/>
          <w:bCs/>
        </w:rPr>
      </w:pPr>
      <w:r>
        <w:rPr>
          <w:rFonts w:ascii="Arial" w:hAnsi="Arial" w:cs="Arial"/>
          <w:bCs/>
        </w:rPr>
        <w:lastRenderedPageBreak/>
        <w:t xml:space="preserve">Esos criterios refuerzan la línea jurisprudencial sustantiva respecto a la VPG atendiendo a la teoría de la prueba, a los elementos procesales y la protección de las víctimas, lo que acrecienta la atención hacia la ruptura de los </w:t>
      </w:r>
      <w:r w:rsidRPr="00AF245F">
        <w:rPr>
          <w:rFonts w:ascii="Arial" w:hAnsi="Arial" w:cs="Arial"/>
          <w:bCs/>
        </w:rPr>
        <w:t>estigma</w:t>
      </w:r>
      <w:r>
        <w:rPr>
          <w:rFonts w:ascii="Arial" w:hAnsi="Arial" w:cs="Arial"/>
          <w:bCs/>
        </w:rPr>
        <w:t xml:space="preserve">s y la discriminación arraigados. </w:t>
      </w:r>
    </w:p>
    <w:p w14:paraId="0BAEB851" w14:textId="48E1B139" w:rsidR="0041290E" w:rsidRDefault="0041290E" w:rsidP="0041290E">
      <w:pPr>
        <w:autoSpaceDE w:val="0"/>
        <w:autoSpaceDN w:val="0"/>
        <w:adjustRightInd w:val="0"/>
        <w:spacing w:line="360" w:lineRule="auto"/>
        <w:jc w:val="both"/>
        <w:rPr>
          <w:rFonts w:ascii="Arial" w:hAnsi="Arial" w:cs="Arial"/>
          <w:bCs/>
        </w:rPr>
      </w:pPr>
    </w:p>
    <w:p w14:paraId="78E4EB8E" w14:textId="727B44D4" w:rsidR="00F71629" w:rsidRDefault="0041290E" w:rsidP="00D90045">
      <w:pPr>
        <w:spacing w:line="360" w:lineRule="auto"/>
        <w:ind w:right="49"/>
        <w:jc w:val="both"/>
        <w:rPr>
          <w:rFonts w:ascii="Arial" w:hAnsi="Arial" w:cs="Arial"/>
        </w:rPr>
      </w:pPr>
      <w:r>
        <w:rPr>
          <w:rFonts w:ascii="Arial" w:hAnsi="Arial" w:cs="Arial"/>
        </w:rPr>
        <w:t xml:space="preserve">Como se puede observar, se ha logrado, a través de sentencias, jurisprudencia, protocolos y en la reciente reforma avanzar en la protección y abonar a la erradicación de la VPG, si bien de forma tardía y aún vista desde fuera hacia el fondo societal, aún </w:t>
      </w:r>
      <w:r w:rsidRPr="008E18DC">
        <w:rPr>
          <w:rFonts w:ascii="Arial" w:hAnsi="Arial" w:cs="Arial"/>
        </w:rPr>
        <w:t xml:space="preserve">quedan acciones </w:t>
      </w:r>
      <w:r>
        <w:rPr>
          <w:rFonts w:ascii="Arial" w:hAnsi="Arial" w:cs="Arial"/>
        </w:rPr>
        <w:t xml:space="preserve">no solo </w:t>
      </w:r>
      <w:r w:rsidRPr="008E18DC">
        <w:rPr>
          <w:rFonts w:ascii="Arial" w:hAnsi="Arial" w:cs="Arial"/>
        </w:rPr>
        <w:t>jurídicas por implementar para su prevención</w:t>
      </w:r>
      <w:r>
        <w:rPr>
          <w:rFonts w:ascii="Arial" w:hAnsi="Arial" w:cs="Arial"/>
        </w:rPr>
        <w:t xml:space="preserve">, erradicación y reiteración, sino también culturales, educativas y sociales. Ámbitos que deben acompañarse de forma transversal. </w:t>
      </w:r>
    </w:p>
    <w:p w14:paraId="7E0C63B1" w14:textId="77777777" w:rsidR="00D90045" w:rsidRPr="00D90045" w:rsidRDefault="00D90045" w:rsidP="00D90045">
      <w:pPr>
        <w:spacing w:line="360" w:lineRule="auto"/>
        <w:ind w:right="49"/>
        <w:jc w:val="both"/>
        <w:rPr>
          <w:rFonts w:ascii="Arial" w:hAnsi="Arial" w:cs="Arial"/>
        </w:rPr>
      </w:pPr>
    </w:p>
    <w:p w14:paraId="7C006C65" w14:textId="75A1AC63" w:rsidR="008F56AD" w:rsidRDefault="00D90045" w:rsidP="00F71629">
      <w:pPr>
        <w:autoSpaceDE w:val="0"/>
        <w:autoSpaceDN w:val="0"/>
        <w:adjustRightInd w:val="0"/>
        <w:spacing w:line="360" w:lineRule="auto"/>
        <w:jc w:val="both"/>
        <w:rPr>
          <w:rFonts w:ascii="Arial" w:hAnsi="Arial" w:cs="Arial"/>
        </w:rPr>
      </w:pPr>
      <w:r>
        <w:rPr>
          <w:rFonts w:ascii="Arial" w:hAnsi="Arial" w:cs="Arial"/>
        </w:rPr>
        <w:t>Si l</w:t>
      </w:r>
      <w:r w:rsidR="008F56AD">
        <w:rPr>
          <w:rFonts w:ascii="Arial" w:hAnsi="Arial" w:cs="Arial"/>
        </w:rPr>
        <w:t>a VPG es un fenómeno que nos destruye como sociedad</w:t>
      </w:r>
      <w:r>
        <w:rPr>
          <w:rFonts w:ascii="Arial" w:hAnsi="Arial" w:cs="Arial"/>
        </w:rPr>
        <w:t>,</w:t>
      </w:r>
      <w:r w:rsidR="008F56AD">
        <w:rPr>
          <w:rFonts w:ascii="Arial" w:hAnsi="Arial" w:cs="Arial"/>
        </w:rPr>
        <w:t xml:space="preserve"> </w:t>
      </w:r>
      <w:r>
        <w:rPr>
          <w:rFonts w:ascii="Arial" w:hAnsi="Arial" w:cs="Arial"/>
        </w:rPr>
        <w:t xml:space="preserve">con más razón, se debe colaborar con visiones panorámicas para combatirla desde diferentes ámbitos de la vida. Lo anterior, sobre todo en los Estados constitucionales y democráticos tendentes a la protección evolutiva y máxima de los derechos humanos. </w:t>
      </w:r>
    </w:p>
    <w:p w14:paraId="680A9B77" w14:textId="2C29EF53" w:rsidR="008F56AD" w:rsidRDefault="008F56AD" w:rsidP="00F71629">
      <w:pPr>
        <w:autoSpaceDE w:val="0"/>
        <w:autoSpaceDN w:val="0"/>
        <w:adjustRightInd w:val="0"/>
        <w:spacing w:line="360" w:lineRule="auto"/>
        <w:jc w:val="both"/>
        <w:rPr>
          <w:rFonts w:ascii="Arial" w:hAnsi="Arial" w:cs="Arial"/>
        </w:rPr>
      </w:pPr>
    </w:p>
    <w:p w14:paraId="5366E545" w14:textId="4BFC97FF" w:rsidR="008F56AD" w:rsidRDefault="00D90045" w:rsidP="00F71629">
      <w:pPr>
        <w:autoSpaceDE w:val="0"/>
        <w:autoSpaceDN w:val="0"/>
        <w:adjustRightInd w:val="0"/>
        <w:spacing w:line="360" w:lineRule="auto"/>
        <w:jc w:val="both"/>
        <w:rPr>
          <w:rFonts w:ascii="Arial" w:hAnsi="Arial" w:cs="Arial"/>
        </w:rPr>
      </w:pPr>
      <w:r>
        <w:rPr>
          <w:rFonts w:ascii="Arial" w:hAnsi="Arial" w:cs="Arial"/>
        </w:rPr>
        <w:t>La VPG</w:t>
      </w:r>
      <w:r w:rsidR="008F56AD">
        <w:rPr>
          <w:rFonts w:ascii="Arial" w:hAnsi="Arial" w:cs="Arial"/>
        </w:rPr>
        <w:t xml:space="preserve"> </w:t>
      </w:r>
      <w:r>
        <w:rPr>
          <w:rFonts w:ascii="Arial" w:hAnsi="Arial" w:cs="Arial"/>
        </w:rPr>
        <w:t>en el actuar cotidiano</w:t>
      </w:r>
      <w:r w:rsidR="008F56AD">
        <w:rPr>
          <w:rFonts w:ascii="Arial" w:hAnsi="Arial" w:cs="Arial"/>
        </w:rPr>
        <w:t xml:space="preserve"> muchas </w:t>
      </w:r>
      <w:r>
        <w:rPr>
          <w:rFonts w:ascii="Arial" w:hAnsi="Arial" w:cs="Arial"/>
        </w:rPr>
        <w:t xml:space="preserve">veces </w:t>
      </w:r>
      <w:r w:rsidR="008F56AD">
        <w:rPr>
          <w:rFonts w:ascii="Arial" w:hAnsi="Arial" w:cs="Arial"/>
        </w:rPr>
        <w:t xml:space="preserve">consiente y muchas otras no, </w:t>
      </w:r>
      <w:r>
        <w:rPr>
          <w:rFonts w:ascii="Arial" w:hAnsi="Arial" w:cs="Arial"/>
        </w:rPr>
        <w:t>que,</w:t>
      </w:r>
      <w:r w:rsidR="008F56AD">
        <w:rPr>
          <w:rFonts w:ascii="Arial" w:hAnsi="Arial" w:cs="Arial"/>
        </w:rPr>
        <w:t xml:space="preserve"> para identificarla y erradicarla, comporta una serie de acciones</w:t>
      </w:r>
      <w:r>
        <w:rPr>
          <w:rFonts w:ascii="Arial" w:hAnsi="Arial" w:cs="Arial"/>
        </w:rPr>
        <w:t xml:space="preserve"> y reacciones</w:t>
      </w:r>
      <w:r w:rsidR="008F56AD">
        <w:rPr>
          <w:rFonts w:ascii="Arial" w:hAnsi="Arial" w:cs="Arial"/>
        </w:rPr>
        <w:t xml:space="preserve">, </w:t>
      </w:r>
      <w:r>
        <w:rPr>
          <w:rFonts w:ascii="Arial" w:hAnsi="Arial" w:cs="Arial"/>
        </w:rPr>
        <w:t xml:space="preserve">hacia </w:t>
      </w:r>
      <w:r w:rsidR="008F56AD">
        <w:rPr>
          <w:rFonts w:ascii="Arial" w:hAnsi="Arial" w:cs="Arial"/>
        </w:rPr>
        <w:t xml:space="preserve">una sociedad que le está costando, en primera instancia darse cuenta de su </w:t>
      </w:r>
      <w:r>
        <w:rPr>
          <w:rFonts w:ascii="Arial" w:hAnsi="Arial" w:cs="Arial"/>
        </w:rPr>
        <w:t>existencia e inmersión diaria</w:t>
      </w:r>
      <w:r w:rsidR="008F56AD">
        <w:rPr>
          <w:rFonts w:ascii="Arial" w:hAnsi="Arial" w:cs="Arial"/>
        </w:rPr>
        <w:t xml:space="preserve"> por años</w:t>
      </w:r>
      <w:r>
        <w:rPr>
          <w:rFonts w:ascii="Arial" w:hAnsi="Arial" w:cs="Arial"/>
        </w:rPr>
        <w:t>,</w:t>
      </w:r>
      <w:r w:rsidR="008F56AD">
        <w:rPr>
          <w:rFonts w:ascii="Arial" w:hAnsi="Arial" w:cs="Arial"/>
        </w:rPr>
        <w:t xml:space="preserve"> y en segundo término </w:t>
      </w:r>
      <w:r>
        <w:rPr>
          <w:rFonts w:ascii="Arial" w:hAnsi="Arial" w:cs="Arial"/>
        </w:rPr>
        <w:t>concebir</w:t>
      </w:r>
      <w:r w:rsidR="008F56AD">
        <w:rPr>
          <w:rFonts w:ascii="Arial" w:hAnsi="Arial" w:cs="Arial"/>
        </w:rPr>
        <w:t xml:space="preserve"> </w:t>
      </w:r>
      <w:r>
        <w:rPr>
          <w:rFonts w:ascii="Arial" w:hAnsi="Arial" w:cs="Arial"/>
        </w:rPr>
        <w:t xml:space="preserve">que su </w:t>
      </w:r>
      <w:proofErr w:type="spellStart"/>
      <w:r>
        <w:rPr>
          <w:rFonts w:ascii="Arial" w:hAnsi="Arial" w:cs="Arial"/>
        </w:rPr>
        <w:t>visibilización</w:t>
      </w:r>
      <w:proofErr w:type="spellEnd"/>
      <w:r>
        <w:rPr>
          <w:rFonts w:ascii="Arial" w:hAnsi="Arial" w:cs="Arial"/>
        </w:rPr>
        <w:t xml:space="preserve"> aumentó</w:t>
      </w:r>
      <w:r w:rsidR="008F56AD">
        <w:rPr>
          <w:rFonts w:ascii="Arial" w:hAnsi="Arial" w:cs="Arial"/>
        </w:rPr>
        <w:t xml:space="preserve"> como reacción a que las mujeres comenzaron a obtener más lugares en los cargos públicos e importantes para la toma de decisiones del país y en el mundo. </w:t>
      </w:r>
    </w:p>
    <w:p w14:paraId="40D8CA74" w14:textId="77777777" w:rsidR="006549DA" w:rsidRDefault="006549DA" w:rsidP="006549DA">
      <w:pPr>
        <w:spacing w:line="360" w:lineRule="auto"/>
        <w:ind w:right="49"/>
        <w:jc w:val="both"/>
        <w:rPr>
          <w:rFonts w:ascii="Arial" w:hAnsi="Arial" w:cs="Arial"/>
        </w:rPr>
      </w:pPr>
    </w:p>
    <w:p w14:paraId="09BE97BE" w14:textId="294B2B20" w:rsidR="00E27ECE" w:rsidRDefault="00080F6A" w:rsidP="00F71629">
      <w:pPr>
        <w:spacing w:line="360" w:lineRule="auto"/>
        <w:ind w:right="49"/>
        <w:jc w:val="both"/>
        <w:rPr>
          <w:rFonts w:ascii="Arial" w:hAnsi="Arial" w:cs="Arial"/>
        </w:rPr>
      </w:pPr>
      <w:r>
        <w:rPr>
          <w:rFonts w:ascii="Arial" w:hAnsi="Arial" w:cs="Arial"/>
        </w:rPr>
        <w:t>Es un escenario en que las autoridades electorales en todos sus niveles y competencias,</w:t>
      </w:r>
      <w:r w:rsidR="0040481B">
        <w:rPr>
          <w:rFonts w:ascii="Arial" w:hAnsi="Arial" w:cs="Arial"/>
        </w:rPr>
        <w:t xml:space="preserve"> debe</w:t>
      </w:r>
      <w:r w:rsidR="0052389C">
        <w:rPr>
          <w:rFonts w:ascii="Arial" w:hAnsi="Arial" w:cs="Arial"/>
        </w:rPr>
        <w:t>n</w:t>
      </w:r>
      <w:r w:rsidR="0040481B">
        <w:rPr>
          <w:rFonts w:ascii="Arial" w:hAnsi="Arial" w:cs="Arial"/>
        </w:rPr>
        <w:t xml:space="preserve"> esforzarse </w:t>
      </w:r>
      <w:r w:rsidR="0052389C">
        <w:rPr>
          <w:rFonts w:ascii="Arial" w:hAnsi="Arial" w:cs="Arial"/>
        </w:rPr>
        <w:t>en</w:t>
      </w:r>
      <w:r>
        <w:rPr>
          <w:rFonts w:ascii="Arial" w:hAnsi="Arial" w:cs="Arial"/>
        </w:rPr>
        <w:t>: 1)</w:t>
      </w:r>
      <w:r w:rsidR="0040481B">
        <w:rPr>
          <w:rFonts w:ascii="Arial" w:hAnsi="Arial" w:cs="Arial"/>
        </w:rPr>
        <w:t xml:space="preserve"> </w:t>
      </w:r>
      <w:r w:rsidR="0040481B" w:rsidRPr="00A36D44">
        <w:rPr>
          <w:rFonts w:ascii="Arial" w:hAnsi="Arial" w:cs="Arial"/>
        </w:rPr>
        <w:t>las personas que cometen violencia política en razón de género tengan consecuencias relevantes con las que se logre revertir esas situaciones</w:t>
      </w:r>
      <w:r>
        <w:rPr>
          <w:rFonts w:ascii="Arial" w:hAnsi="Arial" w:cs="Arial"/>
        </w:rPr>
        <w:t xml:space="preserve">, 2) evitar </w:t>
      </w:r>
      <w:r w:rsidR="0052389C">
        <w:rPr>
          <w:rFonts w:ascii="Arial" w:hAnsi="Arial" w:cs="Arial"/>
        </w:rPr>
        <w:t>que en</w:t>
      </w:r>
      <w:r w:rsidR="006F70FE" w:rsidRPr="006F70FE">
        <w:rPr>
          <w:rFonts w:ascii="Arial" w:hAnsi="Arial" w:cs="Arial"/>
        </w:rPr>
        <w:t xml:space="preserve"> las estructuras institucionales </w:t>
      </w:r>
      <w:r w:rsidR="0052389C">
        <w:rPr>
          <w:rFonts w:ascii="Arial" w:hAnsi="Arial" w:cs="Arial"/>
        </w:rPr>
        <w:t xml:space="preserve">exista una </w:t>
      </w:r>
      <w:r w:rsidR="0052389C" w:rsidRPr="006F70FE">
        <w:rPr>
          <w:rFonts w:ascii="Arial" w:hAnsi="Arial" w:cs="Arial"/>
        </w:rPr>
        <w:t>posición</w:t>
      </w:r>
      <w:r w:rsidR="006F70FE" w:rsidRPr="006F70FE">
        <w:rPr>
          <w:rFonts w:ascii="Arial" w:hAnsi="Arial" w:cs="Arial"/>
        </w:rPr>
        <w:t xml:space="preserve"> de ceguera o inactividad al reconocimiento de </w:t>
      </w:r>
      <w:r w:rsidR="0052389C">
        <w:rPr>
          <w:rFonts w:ascii="Arial" w:hAnsi="Arial" w:cs="Arial"/>
        </w:rPr>
        <w:t xml:space="preserve">los derechos de </w:t>
      </w:r>
      <w:r w:rsidR="006F70FE" w:rsidRPr="006F70FE">
        <w:rPr>
          <w:rFonts w:ascii="Arial" w:hAnsi="Arial" w:cs="Arial"/>
        </w:rPr>
        <w:t xml:space="preserve">las víctimas, a </w:t>
      </w:r>
      <w:r w:rsidR="006F70FE" w:rsidRPr="006F70FE">
        <w:rPr>
          <w:rFonts w:ascii="Arial" w:hAnsi="Arial" w:cs="Arial"/>
        </w:rPr>
        <w:lastRenderedPageBreak/>
        <w:t xml:space="preserve">visibilizarlas y darles voz, </w:t>
      </w:r>
      <w:r w:rsidR="0052389C">
        <w:rPr>
          <w:rFonts w:ascii="Arial" w:hAnsi="Arial" w:cs="Arial"/>
        </w:rPr>
        <w:t>y no</w:t>
      </w:r>
      <w:r w:rsidR="006F70FE" w:rsidRPr="006F70FE">
        <w:rPr>
          <w:rFonts w:ascii="Arial" w:hAnsi="Arial" w:cs="Arial"/>
        </w:rPr>
        <w:t xml:space="preserve"> revictimiza</w:t>
      </w:r>
      <w:r w:rsidR="0052389C">
        <w:rPr>
          <w:rFonts w:ascii="Arial" w:hAnsi="Arial" w:cs="Arial"/>
        </w:rPr>
        <w:t>rlas y</w:t>
      </w:r>
      <w:r w:rsidR="006F70FE" w:rsidRPr="006F70FE">
        <w:rPr>
          <w:rFonts w:ascii="Arial" w:hAnsi="Arial" w:cs="Arial"/>
        </w:rPr>
        <w:t xml:space="preserve"> </w:t>
      </w:r>
      <w:r w:rsidR="0052389C">
        <w:rPr>
          <w:rFonts w:ascii="Arial" w:hAnsi="Arial" w:cs="Arial"/>
        </w:rPr>
        <w:t xml:space="preserve">3) despojarse de prejuicios de género para poder resolver casos de VPG y mirar hacia una real igualdad. </w:t>
      </w:r>
    </w:p>
    <w:p w14:paraId="4A605F2C" w14:textId="074625C3" w:rsidR="00F71629" w:rsidRDefault="00F71629" w:rsidP="00F71629">
      <w:pPr>
        <w:spacing w:line="360" w:lineRule="auto"/>
        <w:ind w:right="49"/>
        <w:jc w:val="both"/>
        <w:rPr>
          <w:rFonts w:ascii="Arial" w:hAnsi="Arial" w:cs="Arial"/>
        </w:rPr>
      </w:pPr>
    </w:p>
    <w:p w14:paraId="70C2FA42" w14:textId="67552CD7" w:rsidR="0052389C" w:rsidRDefault="0052389C" w:rsidP="00087DDF">
      <w:pPr>
        <w:spacing w:line="360" w:lineRule="auto"/>
        <w:jc w:val="both"/>
        <w:rPr>
          <w:rFonts w:ascii="Arial" w:hAnsi="Arial" w:cs="Arial"/>
        </w:rPr>
      </w:pPr>
      <w:r>
        <w:rPr>
          <w:rFonts w:ascii="Arial" w:hAnsi="Arial" w:cs="Arial"/>
        </w:rPr>
        <w:t xml:space="preserve">Así, el enfoque del estándar reforzado de la </w:t>
      </w:r>
      <w:r w:rsidRPr="0052389C">
        <w:rPr>
          <w:rFonts w:ascii="Arial" w:hAnsi="Arial" w:cs="Arial"/>
        </w:rPr>
        <w:t>de valor probatorio en casos de violencia política por razones de género</w:t>
      </w:r>
      <w:r>
        <w:rPr>
          <w:rFonts w:ascii="Arial" w:hAnsi="Arial" w:cs="Arial"/>
        </w:rPr>
        <w:t>, además de lo ya dicho, proviene no solo de las normas, sino de una convicción que busca su erradicación</w:t>
      </w:r>
      <w:r w:rsidR="00D7033D">
        <w:rPr>
          <w:rFonts w:ascii="Arial" w:hAnsi="Arial" w:cs="Arial"/>
        </w:rPr>
        <w:t xml:space="preserve"> y que</w:t>
      </w:r>
      <w:r>
        <w:rPr>
          <w:rFonts w:ascii="Arial" w:hAnsi="Arial" w:cs="Arial"/>
        </w:rPr>
        <w:t xml:space="preserve"> apuesta porque los demás actores políticos </w:t>
      </w:r>
      <w:r w:rsidR="00D7033D">
        <w:rPr>
          <w:rFonts w:ascii="Arial" w:hAnsi="Arial" w:cs="Arial"/>
        </w:rPr>
        <w:t xml:space="preserve">se contagien de esa creencia. </w:t>
      </w:r>
    </w:p>
    <w:p w14:paraId="3179FEC0" w14:textId="302ECBE4" w:rsidR="001468D8" w:rsidRDefault="001468D8" w:rsidP="00087DDF">
      <w:pPr>
        <w:spacing w:line="360" w:lineRule="auto"/>
        <w:jc w:val="both"/>
        <w:rPr>
          <w:rFonts w:ascii="Arial" w:hAnsi="Arial" w:cs="Arial"/>
        </w:rPr>
      </w:pPr>
    </w:p>
    <w:p w14:paraId="48786AEF" w14:textId="1F8343A5" w:rsidR="001468D8" w:rsidRDefault="00D7033D" w:rsidP="001468D8">
      <w:pPr>
        <w:spacing w:line="360" w:lineRule="auto"/>
        <w:jc w:val="both"/>
        <w:rPr>
          <w:rFonts w:ascii="Arial" w:hAnsi="Arial" w:cs="Arial"/>
        </w:rPr>
      </w:pPr>
      <w:r>
        <w:rPr>
          <w:rFonts w:ascii="Arial" w:hAnsi="Arial" w:cs="Arial"/>
        </w:rPr>
        <w:t xml:space="preserve">Constituye </w:t>
      </w:r>
      <w:r w:rsidRPr="005E6EBF">
        <w:rPr>
          <w:rFonts w:ascii="Arial" w:hAnsi="Arial" w:cs="Arial"/>
        </w:rPr>
        <w:t>un estímulo para lograr el deseo de una efectiva participación política de las mujeres libre de discriminación y violencia</w:t>
      </w:r>
      <w:r>
        <w:rPr>
          <w:rFonts w:ascii="Arial" w:hAnsi="Arial" w:cs="Arial"/>
        </w:rPr>
        <w:t xml:space="preserve">, porque conforma no solo </w:t>
      </w:r>
      <w:proofErr w:type="gramStart"/>
      <w:r>
        <w:rPr>
          <w:rFonts w:ascii="Arial" w:hAnsi="Arial" w:cs="Arial"/>
        </w:rPr>
        <w:t xml:space="preserve">un </w:t>
      </w:r>
      <w:r w:rsidR="001468D8">
        <w:rPr>
          <w:rFonts w:ascii="Arial" w:hAnsi="Arial" w:cs="Arial"/>
        </w:rPr>
        <w:t xml:space="preserve"> sistema</w:t>
      </w:r>
      <w:proofErr w:type="gramEnd"/>
      <w:r w:rsidR="001468D8">
        <w:rPr>
          <w:rFonts w:ascii="Arial" w:hAnsi="Arial" w:cs="Arial"/>
        </w:rPr>
        <w:t xml:space="preserve"> de nombres, de conductas, </w:t>
      </w:r>
      <w:r>
        <w:rPr>
          <w:rFonts w:ascii="Arial" w:hAnsi="Arial" w:cs="Arial"/>
        </w:rPr>
        <w:t xml:space="preserve">sino de acciones que acarrean significados y símbolos que sin ellos estaría escasa la </w:t>
      </w:r>
      <w:r w:rsidR="001468D8" w:rsidRPr="004276B2">
        <w:rPr>
          <w:rFonts w:ascii="Arial" w:hAnsi="Arial" w:cs="Arial"/>
        </w:rPr>
        <w:t>reflexión y sin reflexión no hay transformación […]</w:t>
      </w:r>
      <w:r w:rsidR="00D90045">
        <w:rPr>
          <w:rFonts w:ascii="Arial" w:hAnsi="Arial" w:cs="Arial"/>
        </w:rPr>
        <w:t>, (</w:t>
      </w:r>
      <w:proofErr w:type="spellStart"/>
      <w:r w:rsidR="00D90045">
        <w:rPr>
          <w:rFonts w:ascii="Arial" w:hAnsi="Arial" w:cs="Arial"/>
        </w:rPr>
        <w:t>Segato</w:t>
      </w:r>
      <w:proofErr w:type="spellEnd"/>
      <w:r w:rsidR="00D90045">
        <w:rPr>
          <w:rFonts w:ascii="Arial" w:hAnsi="Arial" w:cs="Arial"/>
        </w:rPr>
        <w:t xml:space="preserve">, ). </w:t>
      </w:r>
    </w:p>
    <w:p w14:paraId="4AAE6E54" w14:textId="20CB7A4A" w:rsidR="007F4451" w:rsidRDefault="007F4451" w:rsidP="00087DDF">
      <w:pPr>
        <w:spacing w:line="360" w:lineRule="auto"/>
        <w:jc w:val="both"/>
        <w:rPr>
          <w:rFonts w:ascii="Arial" w:hAnsi="Arial" w:cs="Arial"/>
        </w:rPr>
      </w:pPr>
    </w:p>
    <w:p w14:paraId="391F2055" w14:textId="0DCC2421" w:rsidR="007F4451" w:rsidRDefault="00AF245F" w:rsidP="00087DDF">
      <w:pPr>
        <w:spacing w:line="360" w:lineRule="auto"/>
        <w:jc w:val="both"/>
        <w:rPr>
          <w:rFonts w:ascii="Arial" w:hAnsi="Arial" w:cs="Arial"/>
          <w:b/>
          <w:bCs/>
        </w:rPr>
      </w:pPr>
      <w:r>
        <w:rPr>
          <w:rFonts w:ascii="Arial" w:hAnsi="Arial" w:cs="Arial"/>
          <w:b/>
          <w:bCs/>
        </w:rPr>
        <w:t xml:space="preserve">VIII. </w:t>
      </w:r>
      <w:r w:rsidR="007F4451" w:rsidRPr="007F4451">
        <w:rPr>
          <w:rFonts w:ascii="Arial" w:hAnsi="Arial" w:cs="Arial"/>
          <w:b/>
          <w:bCs/>
        </w:rPr>
        <w:t>Bibliografía</w:t>
      </w:r>
    </w:p>
    <w:p w14:paraId="6B92BBEF" w14:textId="7740B7A2" w:rsidR="00A10DF3" w:rsidRDefault="00A10DF3" w:rsidP="00087DDF">
      <w:pPr>
        <w:spacing w:line="360" w:lineRule="auto"/>
        <w:jc w:val="both"/>
        <w:rPr>
          <w:rFonts w:ascii="Arial" w:hAnsi="Arial" w:cs="Arial"/>
          <w:b/>
          <w:bCs/>
        </w:rPr>
      </w:pPr>
    </w:p>
    <w:p w14:paraId="6EDE098F" w14:textId="77777777" w:rsidR="00A10DF3" w:rsidRPr="00EC148C" w:rsidRDefault="00A10DF3" w:rsidP="00BC78E7">
      <w:pPr>
        <w:spacing w:line="276" w:lineRule="auto"/>
        <w:jc w:val="both"/>
        <w:rPr>
          <w:rFonts w:ascii="Arial" w:hAnsi="Arial" w:cs="Arial"/>
        </w:rPr>
      </w:pPr>
      <w:r w:rsidRPr="00EC148C">
        <w:rPr>
          <w:rFonts w:ascii="Arial" w:hAnsi="Arial" w:cs="Arial"/>
        </w:rPr>
        <w:t xml:space="preserve">CEDAW. 2010. Recomendación General No. 28 relativa al artículo 2 de la Convención, de 16 de diciembre de 2010, Doc. ONU CEDAW/C/GC/28. </w:t>
      </w:r>
    </w:p>
    <w:p w14:paraId="5721A6CA" w14:textId="77777777" w:rsidR="00A10DF3" w:rsidRPr="00EC148C" w:rsidRDefault="00A10DF3" w:rsidP="00BC78E7">
      <w:pPr>
        <w:spacing w:line="276" w:lineRule="auto"/>
        <w:jc w:val="both"/>
        <w:rPr>
          <w:rFonts w:ascii="Arial" w:hAnsi="Arial" w:cs="Arial"/>
        </w:rPr>
      </w:pPr>
    </w:p>
    <w:p w14:paraId="41086654" w14:textId="77777777" w:rsidR="00A10DF3" w:rsidRPr="00EC148C" w:rsidRDefault="00A10DF3" w:rsidP="00BC78E7">
      <w:pPr>
        <w:spacing w:line="276" w:lineRule="auto"/>
        <w:jc w:val="both"/>
        <w:rPr>
          <w:rFonts w:ascii="Arial" w:hAnsi="Arial" w:cs="Arial"/>
        </w:rPr>
      </w:pPr>
      <w:r>
        <w:rPr>
          <w:rFonts w:ascii="Arial" w:hAnsi="Arial" w:cs="Arial"/>
        </w:rPr>
        <w:t xml:space="preserve">-----------. </w:t>
      </w:r>
      <w:r w:rsidRPr="00EC148C">
        <w:rPr>
          <w:rFonts w:ascii="Arial" w:hAnsi="Arial" w:cs="Arial"/>
        </w:rPr>
        <w:t xml:space="preserve"> 2017. Recomendación General No. 35 sobre la violencia por razón de género contra la mujer, por la que se actualiza la recomendación general No. 19, 26 de julio de 2017, Doc. ONU CEDAW/C/GC/35. </w:t>
      </w:r>
    </w:p>
    <w:p w14:paraId="5609CCFF" w14:textId="0FB87246" w:rsidR="00AF245F" w:rsidRDefault="00AF245F" w:rsidP="00BC78E7">
      <w:pPr>
        <w:spacing w:line="276" w:lineRule="auto"/>
        <w:jc w:val="both"/>
        <w:rPr>
          <w:rFonts w:ascii="Arial" w:hAnsi="Arial" w:cs="Arial"/>
          <w:b/>
          <w:bCs/>
        </w:rPr>
      </w:pPr>
    </w:p>
    <w:p w14:paraId="3204AAB7" w14:textId="293803C8" w:rsidR="00E91639" w:rsidRDefault="00E91639" w:rsidP="00BC78E7">
      <w:pPr>
        <w:spacing w:line="276" w:lineRule="auto"/>
        <w:jc w:val="both"/>
        <w:rPr>
          <w:rFonts w:ascii="Arial" w:hAnsi="Arial" w:cs="Arial"/>
        </w:rPr>
      </w:pPr>
      <w:r>
        <w:rPr>
          <w:rFonts w:ascii="Arial" w:hAnsi="Arial" w:cs="Arial"/>
        </w:rPr>
        <w:t xml:space="preserve">Constitución Política de los Estados Unidos Mexicanos (CPEUM). 2020. </w:t>
      </w:r>
      <w:proofErr w:type="spellStart"/>
      <w:proofErr w:type="gramStart"/>
      <w:r w:rsidR="00A10DF3">
        <w:rPr>
          <w:rFonts w:ascii="Arial" w:hAnsi="Arial" w:cs="Arial"/>
        </w:rPr>
        <w:t>TEPJF:México</w:t>
      </w:r>
      <w:proofErr w:type="spellEnd"/>
      <w:proofErr w:type="gramEnd"/>
      <w:r w:rsidR="00A10DF3">
        <w:rPr>
          <w:rFonts w:ascii="Arial" w:hAnsi="Arial" w:cs="Arial"/>
        </w:rPr>
        <w:t>.</w:t>
      </w:r>
      <w:r>
        <w:rPr>
          <w:rFonts w:ascii="Arial" w:hAnsi="Arial" w:cs="Arial"/>
        </w:rPr>
        <w:t xml:space="preserve"> Disponible en: </w:t>
      </w:r>
      <w:hyperlink r:id="rId7" w:history="1">
        <w:r w:rsidR="00A10DF3" w:rsidRPr="00DD0F59">
          <w:rPr>
            <w:rStyle w:val="Hipervnculo"/>
            <w:rFonts w:ascii="Arial" w:hAnsi="Arial" w:cs="Arial"/>
          </w:rPr>
          <w:t>https://www.te.gob.mx/legislacion/page/seleccion/1</w:t>
        </w:r>
      </w:hyperlink>
    </w:p>
    <w:p w14:paraId="0F30AC4C" w14:textId="77777777" w:rsidR="00AF245F" w:rsidRDefault="00AF245F" w:rsidP="00BC78E7">
      <w:pPr>
        <w:spacing w:line="276" w:lineRule="auto"/>
        <w:jc w:val="both"/>
        <w:rPr>
          <w:rFonts w:ascii="Arial" w:hAnsi="Arial" w:cs="Arial"/>
          <w:b/>
          <w:bCs/>
        </w:rPr>
      </w:pPr>
    </w:p>
    <w:p w14:paraId="6EFF7EB3" w14:textId="68586E34" w:rsidR="007F4451" w:rsidRDefault="007B69CE" w:rsidP="00BC78E7">
      <w:pPr>
        <w:spacing w:line="276" w:lineRule="auto"/>
        <w:jc w:val="both"/>
        <w:rPr>
          <w:rFonts w:ascii="Arial" w:hAnsi="Arial" w:cs="Arial"/>
        </w:rPr>
      </w:pPr>
      <w:r w:rsidRPr="00F040C8">
        <w:rPr>
          <w:rFonts w:ascii="Arial" w:hAnsi="Arial" w:cs="Arial"/>
        </w:rPr>
        <w:t xml:space="preserve">Corte IDH. </w:t>
      </w:r>
      <w:proofErr w:type="spellStart"/>
      <w:r w:rsidRPr="00F040C8">
        <w:rPr>
          <w:rFonts w:ascii="Arial" w:hAnsi="Arial" w:cs="Arial"/>
        </w:rPr>
        <w:t>Cuscul</w:t>
      </w:r>
      <w:proofErr w:type="spellEnd"/>
      <w:r w:rsidRPr="00F040C8">
        <w:rPr>
          <w:rFonts w:ascii="Arial" w:hAnsi="Arial" w:cs="Arial"/>
        </w:rPr>
        <w:t xml:space="preserve"> Pivaral y otros Vs. Guatemala. Excepción Preliminar, Fondo, Reparaciones y Costas. Sentencia de 23 de agosto de 2018. Serie C No. 359</w:t>
      </w:r>
      <w:r w:rsidR="00E25CD8">
        <w:rPr>
          <w:rFonts w:ascii="Arial" w:hAnsi="Arial" w:cs="Arial"/>
        </w:rPr>
        <w:t xml:space="preserve">. </w:t>
      </w:r>
    </w:p>
    <w:p w14:paraId="2388B6C1" w14:textId="4ED7D93D" w:rsidR="00EC148C" w:rsidRDefault="00EC148C" w:rsidP="00BC78E7">
      <w:pPr>
        <w:spacing w:line="276" w:lineRule="auto"/>
        <w:jc w:val="both"/>
        <w:rPr>
          <w:rFonts w:ascii="Arial" w:hAnsi="Arial" w:cs="Arial"/>
        </w:rPr>
      </w:pPr>
    </w:p>
    <w:p w14:paraId="5E588516" w14:textId="2A896410" w:rsidR="00EC148C" w:rsidRPr="00EC148C" w:rsidRDefault="00EC148C" w:rsidP="00BC78E7">
      <w:pPr>
        <w:spacing w:line="276" w:lineRule="auto"/>
        <w:jc w:val="both"/>
        <w:rPr>
          <w:rFonts w:ascii="Arial" w:hAnsi="Arial" w:cs="Arial"/>
        </w:rPr>
      </w:pPr>
      <w:r>
        <w:rPr>
          <w:rFonts w:ascii="Arial" w:hAnsi="Arial" w:cs="Arial"/>
        </w:rPr>
        <w:t xml:space="preserve">--------------. </w:t>
      </w:r>
      <w:r w:rsidRPr="00EC148C">
        <w:rPr>
          <w:rFonts w:ascii="Arial" w:hAnsi="Arial" w:cs="Arial"/>
        </w:rPr>
        <w:t xml:space="preserve">Ramírez Escobar y otros Vs. Guatemala. Fondo, Reparaciones y Costas. Sentencia de 9 de marzo de 2018. Serie C No. 351. </w:t>
      </w:r>
    </w:p>
    <w:p w14:paraId="49B5CBCE" w14:textId="77777777" w:rsidR="00EC148C" w:rsidRDefault="00EC148C" w:rsidP="00BC78E7">
      <w:pPr>
        <w:spacing w:line="276" w:lineRule="auto"/>
        <w:jc w:val="both"/>
        <w:rPr>
          <w:rFonts w:ascii="Arial" w:hAnsi="Arial" w:cs="Arial"/>
        </w:rPr>
      </w:pPr>
    </w:p>
    <w:p w14:paraId="7DCA0F38" w14:textId="4BB6CDE1" w:rsidR="00E25CD8" w:rsidRDefault="00E25CD8" w:rsidP="00BC78E7">
      <w:pPr>
        <w:spacing w:line="276" w:lineRule="auto"/>
        <w:jc w:val="both"/>
        <w:rPr>
          <w:rFonts w:ascii="Arial" w:hAnsi="Arial" w:cs="Arial"/>
        </w:rPr>
      </w:pPr>
    </w:p>
    <w:p w14:paraId="418489A4" w14:textId="73D08710" w:rsidR="00E25CD8" w:rsidRDefault="00E25CD8" w:rsidP="00BC78E7">
      <w:pPr>
        <w:spacing w:line="276" w:lineRule="auto"/>
        <w:jc w:val="both"/>
        <w:rPr>
          <w:rFonts w:ascii="Arial" w:hAnsi="Arial" w:cs="Arial"/>
        </w:rPr>
      </w:pPr>
      <w:r>
        <w:rPr>
          <w:rFonts w:ascii="Arial" w:hAnsi="Arial" w:cs="Arial"/>
        </w:rPr>
        <w:t xml:space="preserve">--------------. </w:t>
      </w:r>
      <w:r w:rsidRPr="00F040C8">
        <w:rPr>
          <w:rFonts w:ascii="Arial" w:hAnsi="Arial" w:cs="Arial"/>
        </w:rPr>
        <w:t>I.V. Vs. Bolivia. Excepciones Preliminares, Fondo, Reparaciones y Costas. Sentencia de 30 de noviembre de 2016. Serie C No. 329</w:t>
      </w:r>
      <w:r>
        <w:rPr>
          <w:rFonts w:ascii="Arial" w:hAnsi="Arial" w:cs="Arial"/>
        </w:rPr>
        <w:t>.</w:t>
      </w:r>
      <w:r w:rsidRPr="00F040C8">
        <w:rPr>
          <w:rFonts w:ascii="Arial" w:hAnsi="Arial" w:cs="Arial"/>
        </w:rPr>
        <w:t xml:space="preserve"> </w:t>
      </w:r>
    </w:p>
    <w:p w14:paraId="21DA5512" w14:textId="77777777" w:rsidR="00EC148C" w:rsidRDefault="00EC148C" w:rsidP="00BC78E7">
      <w:pPr>
        <w:spacing w:line="276" w:lineRule="auto"/>
        <w:jc w:val="both"/>
        <w:rPr>
          <w:rFonts w:ascii="Arial" w:hAnsi="Arial" w:cs="Arial"/>
        </w:rPr>
      </w:pPr>
    </w:p>
    <w:p w14:paraId="085FB5CE" w14:textId="2303E91C" w:rsidR="00E25CD8" w:rsidRDefault="00E25CD8" w:rsidP="00BC78E7">
      <w:pPr>
        <w:spacing w:line="276" w:lineRule="auto"/>
        <w:jc w:val="both"/>
        <w:rPr>
          <w:rFonts w:ascii="Arial" w:hAnsi="Arial" w:cs="Arial"/>
        </w:rPr>
      </w:pPr>
      <w:r>
        <w:rPr>
          <w:rFonts w:ascii="Arial" w:hAnsi="Arial" w:cs="Arial"/>
        </w:rPr>
        <w:lastRenderedPageBreak/>
        <w:t xml:space="preserve">-------------. </w:t>
      </w:r>
      <w:r w:rsidRPr="00F040C8">
        <w:rPr>
          <w:rFonts w:ascii="Arial" w:hAnsi="Arial" w:cs="Arial"/>
        </w:rPr>
        <w:t>Trabajadores de la Hacienda Brasil Verde Vs. Brasil. Excepciones Preliminares, Fondo, Reparaciones y Costas. Sentencia de 20 de octubre de 2016. Serie C No. 318</w:t>
      </w:r>
      <w:r>
        <w:rPr>
          <w:rFonts w:ascii="Arial" w:hAnsi="Arial" w:cs="Arial"/>
        </w:rPr>
        <w:t xml:space="preserve">. </w:t>
      </w:r>
    </w:p>
    <w:p w14:paraId="68129F8D" w14:textId="2D7FCFE5" w:rsidR="00EC148C" w:rsidRDefault="00EC148C" w:rsidP="00BC78E7">
      <w:pPr>
        <w:spacing w:line="276" w:lineRule="auto"/>
        <w:jc w:val="both"/>
        <w:rPr>
          <w:rFonts w:ascii="Arial" w:hAnsi="Arial" w:cs="Arial"/>
        </w:rPr>
      </w:pPr>
    </w:p>
    <w:p w14:paraId="01D9096B" w14:textId="1D47D8E4" w:rsidR="00EC148C" w:rsidRDefault="00EC148C" w:rsidP="00BC78E7">
      <w:pPr>
        <w:spacing w:line="276" w:lineRule="auto"/>
        <w:jc w:val="both"/>
        <w:rPr>
          <w:rFonts w:ascii="Arial" w:hAnsi="Arial" w:cs="Arial"/>
        </w:rPr>
      </w:pPr>
      <w:r>
        <w:rPr>
          <w:rFonts w:ascii="Arial" w:hAnsi="Arial" w:cs="Arial"/>
        </w:rPr>
        <w:t xml:space="preserve">-------------. </w:t>
      </w:r>
      <w:r w:rsidRPr="006549DA">
        <w:rPr>
          <w:rFonts w:ascii="Arial" w:hAnsi="Arial" w:cs="Arial"/>
        </w:rPr>
        <w:t xml:space="preserve">Gonzales </w:t>
      </w:r>
      <w:proofErr w:type="spellStart"/>
      <w:r w:rsidRPr="006549DA">
        <w:rPr>
          <w:rFonts w:ascii="Arial" w:hAnsi="Arial" w:cs="Arial"/>
        </w:rPr>
        <w:t>Lluy</w:t>
      </w:r>
      <w:proofErr w:type="spellEnd"/>
      <w:r w:rsidRPr="006549DA">
        <w:rPr>
          <w:rFonts w:ascii="Arial" w:hAnsi="Arial" w:cs="Arial"/>
        </w:rPr>
        <w:t xml:space="preserve"> y otros Vs. Ecuador. Excepciones Preliminares, Fondo, Reparaciones y Costas. 1 de septiembre de 2015. Serie C No. 298</w:t>
      </w:r>
      <w:r>
        <w:rPr>
          <w:rFonts w:ascii="Arial" w:hAnsi="Arial" w:cs="Arial"/>
        </w:rPr>
        <w:t xml:space="preserve">. </w:t>
      </w:r>
    </w:p>
    <w:p w14:paraId="5D811458" w14:textId="3BF66A82" w:rsidR="00EC148C" w:rsidRDefault="00EC148C" w:rsidP="00BC78E7">
      <w:pPr>
        <w:spacing w:line="276" w:lineRule="auto"/>
        <w:jc w:val="both"/>
        <w:rPr>
          <w:rFonts w:ascii="Arial" w:hAnsi="Arial" w:cs="Arial"/>
        </w:rPr>
      </w:pPr>
    </w:p>
    <w:p w14:paraId="7760BE56" w14:textId="338F764E" w:rsidR="00EC148C" w:rsidRDefault="00EC148C" w:rsidP="00BC78E7">
      <w:pPr>
        <w:spacing w:line="276" w:lineRule="auto"/>
        <w:jc w:val="both"/>
        <w:rPr>
          <w:rFonts w:ascii="Arial" w:hAnsi="Arial" w:cs="Arial"/>
        </w:rPr>
      </w:pPr>
      <w:r>
        <w:rPr>
          <w:rFonts w:ascii="Arial" w:hAnsi="Arial" w:cs="Arial"/>
        </w:rPr>
        <w:t xml:space="preserve">-------------. </w:t>
      </w:r>
      <w:r w:rsidRPr="00F040C8">
        <w:rPr>
          <w:rFonts w:ascii="Arial" w:hAnsi="Arial" w:cs="Arial"/>
        </w:rPr>
        <w:t>Veliz Franco y otros Vs. Guatemala. Excepciones Preliminares, Fondo, Reparaciones y Costas. Sentencia de 19 de mayo de 2014. Serie C No. 277</w:t>
      </w:r>
      <w:r>
        <w:rPr>
          <w:rFonts w:ascii="Arial" w:hAnsi="Arial" w:cs="Arial"/>
        </w:rPr>
        <w:t>.</w:t>
      </w:r>
    </w:p>
    <w:p w14:paraId="299D01CB" w14:textId="075A9999" w:rsidR="00EC148C" w:rsidRDefault="00EC148C" w:rsidP="00BC78E7">
      <w:pPr>
        <w:spacing w:line="276" w:lineRule="auto"/>
        <w:jc w:val="both"/>
        <w:rPr>
          <w:rFonts w:ascii="Arial" w:hAnsi="Arial" w:cs="Arial"/>
        </w:rPr>
      </w:pPr>
    </w:p>
    <w:p w14:paraId="10EF4FC5" w14:textId="42776120" w:rsidR="00EC148C" w:rsidRDefault="00EC148C" w:rsidP="00BC78E7">
      <w:pPr>
        <w:spacing w:line="276" w:lineRule="auto"/>
        <w:jc w:val="both"/>
        <w:rPr>
          <w:rFonts w:ascii="Arial" w:hAnsi="Arial" w:cs="Arial"/>
        </w:rPr>
      </w:pPr>
      <w:r>
        <w:rPr>
          <w:rFonts w:ascii="Arial" w:hAnsi="Arial" w:cs="Arial"/>
        </w:rPr>
        <w:t xml:space="preserve">-------------. </w:t>
      </w:r>
      <w:r w:rsidRPr="005F2D97">
        <w:rPr>
          <w:rFonts w:ascii="Arial" w:hAnsi="Arial" w:cs="Arial"/>
        </w:rPr>
        <w:t>Artavia Murillo y otros Vs. Costa Rica. Excepciones Preliminares, Fondo, Reparaciones y Costas</w:t>
      </w:r>
      <w:r>
        <w:rPr>
          <w:rFonts w:ascii="Arial" w:hAnsi="Arial" w:cs="Arial"/>
        </w:rPr>
        <w:t>, s</w:t>
      </w:r>
      <w:r w:rsidRPr="005F2D97">
        <w:rPr>
          <w:rFonts w:ascii="Arial" w:hAnsi="Arial" w:cs="Arial"/>
        </w:rPr>
        <w:t>entencia de 28 noviembre de 2012. Serie C No. 257</w:t>
      </w:r>
      <w:r>
        <w:rPr>
          <w:rFonts w:ascii="Arial" w:hAnsi="Arial" w:cs="Arial"/>
        </w:rPr>
        <w:t>.</w:t>
      </w:r>
    </w:p>
    <w:p w14:paraId="48E43089" w14:textId="7526CF35" w:rsidR="00E25CD8" w:rsidRDefault="00E25CD8" w:rsidP="00BC78E7">
      <w:pPr>
        <w:spacing w:line="276" w:lineRule="auto"/>
        <w:jc w:val="both"/>
        <w:rPr>
          <w:rFonts w:ascii="Arial" w:hAnsi="Arial" w:cs="Arial"/>
        </w:rPr>
      </w:pPr>
    </w:p>
    <w:p w14:paraId="20A61002" w14:textId="27780BDB" w:rsidR="00E25CD8" w:rsidRDefault="00E25CD8" w:rsidP="00BC78E7">
      <w:pPr>
        <w:spacing w:line="276" w:lineRule="auto"/>
        <w:jc w:val="both"/>
        <w:rPr>
          <w:rFonts w:ascii="Arial" w:hAnsi="Arial" w:cs="Arial"/>
        </w:rPr>
      </w:pPr>
      <w:r>
        <w:rPr>
          <w:rFonts w:ascii="Arial" w:hAnsi="Arial" w:cs="Arial"/>
        </w:rPr>
        <w:t xml:space="preserve">-------------. </w:t>
      </w:r>
      <w:proofErr w:type="spellStart"/>
      <w:r w:rsidRPr="00F040C8">
        <w:rPr>
          <w:rFonts w:ascii="Arial" w:hAnsi="Arial" w:cs="Arial"/>
        </w:rPr>
        <w:t>Nadege</w:t>
      </w:r>
      <w:proofErr w:type="spellEnd"/>
      <w:r w:rsidRPr="00F040C8">
        <w:rPr>
          <w:rFonts w:ascii="Arial" w:hAnsi="Arial" w:cs="Arial"/>
        </w:rPr>
        <w:t xml:space="preserve"> </w:t>
      </w:r>
      <w:proofErr w:type="spellStart"/>
      <w:r w:rsidRPr="00F040C8">
        <w:rPr>
          <w:rFonts w:ascii="Arial" w:hAnsi="Arial" w:cs="Arial"/>
        </w:rPr>
        <w:t>Dorzema</w:t>
      </w:r>
      <w:proofErr w:type="spellEnd"/>
      <w:r w:rsidRPr="00F040C8">
        <w:rPr>
          <w:rFonts w:ascii="Arial" w:hAnsi="Arial" w:cs="Arial"/>
        </w:rPr>
        <w:t xml:space="preserve"> y otros Vs. República Dominicana. Fondo Reparaciones y Costas. Sentencia de 24 de octubre de 2012. Serie C No. 251</w:t>
      </w:r>
      <w:r>
        <w:rPr>
          <w:rFonts w:ascii="Arial" w:hAnsi="Arial" w:cs="Arial"/>
        </w:rPr>
        <w:t>.</w:t>
      </w:r>
    </w:p>
    <w:p w14:paraId="436BA3CE" w14:textId="1377E81C" w:rsidR="00EC148C" w:rsidRDefault="00EC148C" w:rsidP="00BC78E7">
      <w:pPr>
        <w:spacing w:line="276" w:lineRule="auto"/>
        <w:jc w:val="both"/>
        <w:rPr>
          <w:rFonts w:ascii="Arial" w:hAnsi="Arial" w:cs="Arial"/>
        </w:rPr>
      </w:pPr>
    </w:p>
    <w:p w14:paraId="5C3DADBF" w14:textId="591D070C" w:rsidR="00EC148C" w:rsidRDefault="00EC148C" w:rsidP="00BC78E7">
      <w:pPr>
        <w:spacing w:line="276" w:lineRule="auto"/>
        <w:jc w:val="both"/>
        <w:rPr>
          <w:rFonts w:ascii="Arial" w:hAnsi="Arial" w:cs="Arial"/>
        </w:rPr>
      </w:pPr>
      <w:r>
        <w:rPr>
          <w:rFonts w:ascii="Arial" w:hAnsi="Arial" w:cs="Arial"/>
        </w:rPr>
        <w:t xml:space="preserve">------------. </w:t>
      </w:r>
      <w:proofErr w:type="spellStart"/>
      <w:r w:rsidRPr="00F040C8">
        <w:rPr>
          <w:rFonts w:ascii="Arial" w:hAnsi="Arial" w:cs="Arial"/>
        </w:rPr>
        <w:t>Atala</w:t>
      </w:r>
      <w:proofErr w:type="spellEnd"/>
      <w:r w:rsidRPr="00F040C8">
        <w:rPr>
          <w:rFonts w:ascii="Arial" w:hAnsi="Arial" w:cs="Arial"/>
        </w:rPr>
        <w:t xml:space="preserve"> Riffo y niñas Vs. Chile. Fondo, Reparaciones y Costas. Sentencia de 24 de febrero de 2012. Serie C No. 239</w:t>
      </w:r>
      <w:r>
        <w:rPr>
          <w:rFonts w:ascii="Arial" w:hAnsi="Arial" w:cs="Arial"/>
        </w:rPr>
        <w:t xml:space="preserve">. </w:t>
      </w:r>
    </w:p>
    <w:p w14:paraId="7483916A" w14:textId="766E8F08" w:rsidR="007B69CE" w:rsidRDefault="007B69CE" w:rsidP="00BC78E7">
      <w:pPr>
        <w:spacing w:line="276" w:lineRule="auto"/>
        <w:jc w:val="both"/>
        <w:rPr>
          <w:rFonts w:ascii="Arial" w:hAnsi="Arial" w:cs="Arial"/>
        </w:rPr>
      </w:pPr>
    </w:p>
    <w:p w14:paraId="67615442" w14:textId="5EF7BE15" w:rsidR="007B69CE" w:rsidRDefault="00E25CD8" w:rsidP="00BC78E7">
      <w:pPr>
        <w:spacing w:line="276" w:lineRule="auto"/>
        <w:jc w:val="both"/>
        <w:rPr>
          <w:rFonts w:ascii="Arial" w:hAnsi="Arial" w:cs="Arial"/>
        </w:rPr>
      </w:pPr>
      <w:r>
        <w:rPr>
          <w:rFonts w:ascii="Arial" w:hAnsi="Arial" w:cs="Arial"/>
        </w:rPr>
        <w:t xml:space="preserve">--------------. </w:t>
      </w:r>
      <w:r w:rsidR="007B69CE" w:rsidRPr="00F040C8">
        <w:rPr>
          <w:rFonts w:ascii="Arial" w:hAnsi="Arial" w:cs="Arial"/>
        </w:rPr>
        <w:t xml:space="preserve">Comunidad Indígena </w:t>
      </w:r>
      <w:proofErr w:type="spellStart"/>
      <w:r w:rsidR="007B69CE" w:rsidRPr="00F040C8">
        <w:rPr>
          <w:rFonts w:ascii="Arial" w:hAnsi="Arial" w:cs="Arial"/>
        </w:rPr>
        <w:t>Xákmok</w:t>
      </w:r>
      <w:proofErr w:type="spellEnd"/>
      <w:r w:rsidR="007B69CE" w:rsidRPr="00F040C8">
        <w:rPr>
          <w:rFonts w:ascii="Arial" w:hAnsi="Arial" w:cs="Arial"/>
        </w:rPr>
        <w:t xml:space="preserve"> </w:t>
      </w:r>
      <w:proofErr w:type="spellStart"/>
      <w:r w:rsidR="007B69CE" w:rsidRPr="00F040C8">
        <w:rPr>
          <w:rFonts w:ascii="Arial" w:hAnsi="Arial" w:cs="Arial"/>
        </w:rPr>
        <w:t>Kásek</w:t>
      </w:r>
      <w:proofErr w:type="spellEnd"/>
      <w:r w:rsidR="007B69CE" w:rsidRPr="00F040C8">
        <w:rPr>
          <w:rFonts w:ascii="Arial" w:hAnsi="Arial" w:cs="Arial"/>
        </w:rPr>
        <w:t xml:space="preserve"> Vs. Paraguay. Fondo, Reparaciones y Costas. Sentencia de 24 de agosto de 2010. Serie C No. 214</w:t>
      </w:r>
      <w:r>
        <w:rPr>
          <w:rFonts w:ascii="Arial" w:hAnsi="Arial" w:cs="Arial"/>
        </w:rPr>
        <w:t xml:space="preserve">. </w:t>
      </w:r>
    </w:p>
    <w:p w14:paraId="5D09C5A3" w14:textId="5AE96D5A" w:rsidR="00EC6544" w:rsidRDefault="00EC6544" w:rsidP="00BC78E7">
      <w:pPr>
        <w:spacing w:line="276" w:lineRule="auto"/>
        <w:jc w:val="both"/>
        <w:rPr>
          <w:rFonts w:ascii="Arial" w:hAnsi="Arial" w:cs="Arial"/>
        </w:rPr>
      </w:pPr>
    </w:p>
    <w:p w14:paraId="6AEA9640" w14:textId="4E46F5C6" w:rsidR="00E25CD8" w:rsidRDefault="00E25CD8" w:rsidP="00BC78E7">
      <w:pPr>
        <w:spacing w:line="276" w:lineRule="auto"/>
        <w:jc w:val="both"/>
        <w:rPr>
          <w:rFonts w:ascii="Arial" w:hAnsi="Arial" w:cs="Arial"/>
          <w:lang w:val="es-ES_tradnl"/>
        </w:rPr>
      </w:pPr>
      <w:r>
        <w:rPr>
          <w:rFonts w:ascii="Arial" w:hAnsi="Arial" w:cs="Arial"/>
        </w:rPr>
        <w:t>J</w:t>
      </w:r>
      <w:proofErr w:type="spellStart"/>
      <w:r w:rsidRPr="002D643C">
        <w:rPr>
          <w:rFonts w:ascii="Arial" w:hAnsi="Arial" w:cs="Arial"/>
          <w:lang w:val="es-ES_tradnl"/>
        </w:rPr>
        <w:t>urisprudencia</w:t>
      </w:r>
      <w:proofErr w:type="spellEnd"/>
      <w:r w:rsidRPr="002D643C">
        <w:rPr>
          <w:rFonts w:ascii="Arial" w:hAnsi="Arial" w:cs="Arial"/>
          <w:lang w:val="es-ES_tradnl"/>
        </w:rPr>
        <w:t xml:space="preserve"> </w:t>
      </w:r>
      <w:r>
        <w:rPr>
          <w:rFonts w:ascii="Arial" w:hAnsi="Arial" w:cs="Arial"/>
          <w:lang w:val="es-ES_tradnl"/>
        </w:rPr>
        <w:t xml:space="preserve">21/2018. </w:t>
      </w:r>
      <w:r w:rsidRPr="00B76449">
        <w:rPr>
          <w:rFonts w:ascii="Arial" w:hAnsi="Arial" w:cs="Arial"/>
          <w:lang w:val="es-ES_tradnl"/>
        </w:rPr>
        <w:t>VIOLENCIA POLÍTICA DE GÉNERO. ELEMENTOS QUE LA ACTUALIZAN EN EL DEBATE POLÍTICO</w:t>
      </w:r>
      <w:r>
        <w:rPr>
          <w:rFonts w:ascii="Arial" w:hAnsi="Arial" w:cs="Arial"/>
          <w:lang w:val="es-ES_tradnl"/>
        </w:rPr>
        <w:t>.</w:t>
      </w:r>
      <w:r w:rsidR="00EC148C">
        <w:rPr>
          <w:rFonts w:ascii="Arial" w:hAnsi="Arial" w:cs="Arial"/>
          <w:lang w:val="es-ES_tradnl"/>
        </w:rPr>
        <w:t xml:space="preserve"> </w:t>
      </w:r>
      <w:r w:rsidR="00A10DF3" w:rsidRPr="00A10DF3">
        <w:rPr>
          <w:rFonts w:ascii="Arial" w:hAnsi="Arial" w:cs="Arial"/>
          <w:lang w:val="es-ES_tradnl"/>
        </w:rPr>
        <w:t>Gaceta de Jurisprudencia y Tesis en materia electoral, Tribunal Electoral del Poder Judicial de la Federación, Año 11, Número 22, 2018, páginas 21 y 22.</w:t>
      </w:r>
    </w:p>
    <w:p w14:paraId="48150EEE" w14:textId="77777777" w:rsidR="00E25CD8" w:rsidRDefault="00E25CD8" w:rsidP="00BC78E7">
      <w:pPr>
        <w:spacing w:line="276" w:lineRule="auto"/>
        <w:jc w:val="both"/>
        <w:rPr>
          <w:rFonts w:ascii="Arial" w:hAnsi="Arial" w:cs="Arial"/>
        </w:rPr>
      </w:pPr>
    </w:p>
    <w:p w14:paraId="3ECA5C8D" w14:textId="617928DF" w:rsidR="00EC6544" w:rsidRDefault="00EC6544" w:rsidP="00BC78E7">
      <w:pPr>
        <w:spacing w:line="276" w:lineRule="auto"/>
        <w:jc w:val="both"/>
        <w:rPr>
          <w:rFonts w:ascii="Arial" w:hAnsi="Arial" w:cs="Arial"/>
          <w:lang w:val="es-ES_tradnl"/>
        </w:rPr>
      </w:pPr>
      <w:r w:rsidRPr="002D643C">
        <w:rPr>
          <w:rFonts w:ascii="Arial" w:hAnsi="Arial" w:cs="Arial"/>
        </w:rPr>
        <w:t>Jurisprudencia 48/2016. VIOLENCIA POLÍTICA POR RAZONES DE GÉNERO. LAS AUTORIDADES ELECTORALES ESTÁN OBLIGADAS A EVITAR LA AFECTACIÓN DE DERECHOS POLÍTICOS ELECTORALES.</w:t>
      </w:r>
      <w:r w:rsidRPr="002D643C">
        <w:rPr>
          <w:rFonts w:ascii="Arial" w:hAnsi="Arial" w:cs="Arial"/>
          <w:lang w:val="es-ES_tradnl"/>
        </w:rPr>
        <w:t xml:space="preserve"> Gaceta de Jurisprudencia y Tesis en materia electoral, TEPJF, Año 9, Número 19, 2016, páginas 47, 48 y 49.</w:t>
      </w:r>
    </w:p>
    <w:p w14:paraId="0021DFBD" w14:textId="2E90F847" w:rsidR="00EC148C" w:rsidRDefault="00EC148C" w:rsidP="00BC78E7">
      <w:pPr>
        <w:spacing w:line="276" w:lineRule="auto"/>
        <w:jc w:val="both"/>
        <w:rPr>
          <w:rFonts w:ascii="Arial" w:hAnsi="Arial" w:cs="Arial"/>
          <w:lang w:val="es-ES_tradnl"/>
        </w:rPr>
      </w:pPr>
    </w:p>
    <w:p w14:paraId="0DAD8D58" w14:textId="3DE33DA9" w:rsidR="00EC148C" w:rsidRDefault="00EC148C" w:rsidP="00BC78E7">
      <w:pPr>
        <w:pStyle w:val="Textonotapie"/>
        <w:spacing w:line="276" w:lineRule="auto"/>
        <w:jc w:val="both"/>
        <w:rPr>
          <w:rFonts w:ascii="Arial" w:hAnsi="Arial" w:cs="Arial"/>
          <w:bCs/>
          <w:sz w:val="24"/>
          <w:szCs w:val="24"/>
        </w:rPr>
      </w:pPr>
      <w:r w:rsidRPr="00E25CD8">
        <w:rPr>
          <w:rFonts w:ascii="Arial" w:hAnsi="Arial" w:cs="Arial"/>
          <w:bCs/>
          <w:sz w:val="24"/>
          <w:szCs w:val="24"/>
        </w:rPr>
        <w:t>Jurisprudencia 1a./J. 22/2016 (10a.). Primera Sala de la SCJN. ACCESO A LA JUSTICIA EN CONDICIONES DE IGUALDAD. ELEMENTOS PARA JUZGAR CON PERSPECTIVA DE GÉNERO.</w:t>
      </w:r>
      <w:r w:rsidR="001B088F">
        <w:rPr>
          <w:rFonts w:ascii="Arial" w:hAnsi="Arial" w:cs="Arial"/>
          <w:bCs/>
          <w:sz w:val="24"/>
          <w:szCs w:val="24"/>
        </w:rPr>
        <w:t xml:space="preserve"> </w:t>
      </w:r>
      <w:r w:rsidR="001B088F" w:rsidRPr="001B088F">
        <w:rPr>
          <w:rFonts w:ascii="Arial" w:hAnsi="Arial" w:cs="Arial"/>
          <w:bCs/>
          <w:sz w:val="24"/>
          <w:szCs w:val="24"/>
        </w:rPr>
        <w:t>Gaceta del Semanario Judicial de la Federación, Décima Época, Libro 29, Tomo II, abril de 2016, página 836.</w:t>
      </w:r>
    </w:p>
    <w:p w14:paraId="64D55EE4" w14:textId="68A64796" w:rsidR="00A10DF3" w:rsidRDefault="00A10DF3" w:rsidP="00BC78E7">
      <w:pPr>
        <w:pStyle w:val="Textonotapie"/>
        <w:spacing w:line="276" w:lineRule="auto"/>
        <w:jc w:val="both"/>
        <w:rPr>
          <w:rFonts w:ascii="Arial" w:hAnsi="Arial" w:cs="Arial"/>
          <w:bCs/>
          <w:sz w:val="24"/>
          <w:szCs w:val="24"/>
        </w:rPr>
      </w:pPr>
    </w:p>
    <w:p w14:paraId="208CF5EF" w14:textId="77777777" w:rsidR="00A10DF3" w:rsidRDefault="00A10DF3" w:rsidP="00BC78E7">
      <w:pPr>
        <w:spacing w:line="276" w:lineRule="auto"/>
        <w:jc w:val="both"/>
        <w:rPr>
          <w:rFonts w:ascii="Arial" w:hAnsi="Arial" w:cs="Arial"/>
        </w:rPr>
      </w:pPr>
      <w:r>
        <w:rPr>
          <w:rFonts w:ascii="Arial" w:hAnsi="Arial" w:cs="Arial"/>
        </w:rPr>
        <w:t xml:space="preserve">Ley Federal para Prevenir y Eliminar la Discriminación (LFPEP). 2018. Disponible en: </w:t>
      </w:r>
      <w:hyperlink r:id="rId8" w:history="1">
        <w:r w:rsidRPr="00DD0F59">
          <w:rPr>
            <w:rStyle w:val="Hipervnculo"/>
            <w:rFonts w:ascii="Arial" w:hAnsi="Arial" w:cs="Arial"/>
          </w:rPr>
          <w:t>http://www.diputados.gob.mx/LeyesBiblio/ref/lfped.htm</w:t>
        </w:r>
      </w:hyperlink>
    </w:p>
    <w:p w14:paraId="5AC39735" w14:textId="77777777" w:rsidR="00A10DF3" w:rsidRDefault="00A10DF3" w:rsidP="00BC78E7">
      <w:pPr>
        <w:spacing w:line="276" w:lineRule="auto"/>
        <w:jc w:val="both"/>
        <w:rPr>
          <w:rFonts w:ascii="Arial" w:hAnsi="Arial" w:cs="Arial"/>
        </w:rPr>
      </w:pPr>
    </w:p>
    <w:p w14:paraId="1C8CADBD" w14:textId="77777777" w:rsidR="00A10DF3" w:rsidRDefault="00A10DF3" w:rsidP="00BC78E7">
      <w:pPr>
        <w:spacing w:line="276" w:lineRule="auto"/>
        <w:jc w:val="both"/>
        <w:rPr>
          <w:rFonts w:ascii="Arial" w:hAnsi="Arial" w:cs="Arial"/>
        </w:rPr>
      </w:pPr>
      <w:r w:rsidRPr="00A10DF3">
        <w:rPr>
          <w:rFonts w:ascii="Arial" w:hAnsi="Arial" w:cs="Arial"/>
        </w:rPr>
        <w:lastRenderedPageBreak/>
        <w:t>L</w:t>
      </w:r>
      <w:r>
        <w:rPr>
          <w:rFonts w:ascii="Arial" w:hAnsi="Arial" w:cs="Arial"/>
        </w:rPr>
        <w:t>ey</w:t>
      </w:r>
      <w:r w:rsidRPr="00A10DF3">
        <w:rPr>
          <w:rFonts w:ascii="Arial" w:hAnsi="Arial" w:cs="Arial"/>
        </w:rPr>
        <w:t xml:space="preserve"> General de Acceso de las Mujeres a una Vida Libre de Violencia</w:t>
      </w:r>
      <w:r>
        <w:rPr>
          <w:rFonts w:ascii="Arial" w:hAnsi="Arial" w:cs="Arial"/>
        </w:rPr>
        <w:t xml:space="preserve"> (LGAMVLV). 2020. Disponible en:  </w:t>
      </w:r>
      <w:hyperlink r:id="rId9" w:history="1">
        <w:r w:rsidRPr="00DD0F59">
          <w:rPr>
            <w:rStyle w:val="Hipervnculo"/>
            <w:rFonts w:ascii="Arial" w:hAnsi="Arial" w:cs="Arial"/>
          </w:rPr>
          <w:t>http://www.diputados.gob.mx/LeyesBiblio/ref/lgamvlv.htm</w:t>
        </w:r>
      </w:hyperlink>
    </w:p>
    <w:p w14:paraId="5BF1EB33" w14:textId="77777777" w:rsidR="00A10DF3" w:rsidRDefault="00A10DF3" w:rsidP="00BC78E7">
      <w:pPr>
        <w:spacing w:line="276" w:lineRule="auto"/>
        <w:jc w:val="both"/>
        <w:rPr>
          <w:rFonts w:ascii="Arial" w:hAnsi="Arial" w:cs="Arial"/>
        </w:rPr>
      </w:pPr>
    </w:p>
    <w:p w14:paraId="6AD8DE90" w14:textId="77777777" w:rsidR="00A10DF3" w:rsidRDefault="00A10DF3" w:rsidP="00BC78E7">
      <w:pPr>
        <w:spacing w:line="276" w:lineRule="auto"/>
        <w:jc w:val="both"/>
        <w:rPr>
          <w:rFonts w:ascii="Arial" w:hAnsi="Arial" w:cs="Arial"/>
        </w:rPr>
      </w:pPr>
      <w:r>
        <w:rPr>
          <w:rFonts w:ascii="Arial" w:hAnsi="Arial" w:cs="Arial"/>
        </w:rPr>
        <w:t xml:space="preserve">Ley General de Instituciones y Procedimientos Electorales (LEGIPE). 2020. TEPJF: México. Disponible en: </w:t>
      </w:r>
      <w:hyperlink r:id="rId10" w:history="1">
        <w:r w:rsidRPr="00DD0F59">
          <w:rPr>
            <w:rStyle w:val="Hipervnculo"/>
            <w:rFonts w:ascii="Arial" w:hAnsi="Arial" w:cs="Arial"/>
          </w:rPr>
          <w:t>https://www.te.gob.mx/legislacion/page/seleccion/4</w:t>
        </w:r>
      </w:hyperlink>
    </w:p>
    <w:p w14:paraId="4C2505A0" w14:textId="4355A0EB" w:rsidR="00EC6544" w:rsidRDefault="00EC6544" w:rsidP="00BC78E7">
      <w:pPr>
        <w:spacing w:line="276" w:lineRule="auto"/>
        <w:jc w:val="both"/>
        <w:rPr>
          <w:rFonts w:ascii="Arial" w:hAnsi="Arial" w:cs="Arial"/>
          <w:lang w:val="es-ES_tradnl"/>
        </w:rPr>
      </w:pPr>
    </w:p>
    <w:p w14:paraId="4DFB9BF4" w14:textId="45B1B2E6" w:rsidR="00E25CD8" w:rsidRDefault="00EC6544" w:rsidP="00BC78E7">
      <w:pPr>
        <w:spacing w:line="276" w:lineRule="auto"/>
        <w:jc w:val="both"/>
        <w:rPr>
          <w:rFonts w:ascii="Arial" w:hAnsi="Arial" w:cs="Arial"/>
        </w:rPr>
      </w:pPr>
      <w:r w:rsidRPr="002D643C">
        <w:rPr>
          <w:rFonts w:ascii="Arial" w:hAnsi="Arial" w:cs="Arial"/>
        </w:rPr>
        <w:t xml:space="preserve">Protocolo para la atención de la violencia política contra las mujeres </w:t>
      </w:r>
      <w:proofErr w:type="gramStart"/>
      <w:r w:rsidRPr="002D643C">
        <w:rPr>
          <w:rFonts w:ascii="Arial" w:hAnsi="Arial" w:cs="Arial"/>
        </w:rPr>
        <w:t>en razón de</w:t>
      </w:r>
      <w:proofErr w:type="gramEnd"/>
      <w:r w:rsidRPr="002D643C">
        <w:rPr>
          <w:rFonts w:ascii="Arial" w:hAnsi="Arial" w:cs="Arial"/>
        </w:rPr>
        <w:t xml:space="preserve"> género</w:t>
      </w:r>
      <w:r w:rsidR="00E25CD8">
        <w:rPr>
          <w:rFonts w:ascii="Arial" w:hAnsi="Arial" w:cs="Arial"/>
        </w:rPr>
        <w:t xml:space="preserve">. 2017. TEPJF: México. Disponible en: </w:t>
      </w:r>
      <w:hyperlink r:id="rId11" w:history="1">
        <w:r w:rsidR="001B088F" w:rsidRPr="00DD0F59">
          <w:rPr>
            <w:rStyle w:val="Hipervnculo"/>
            <w:rFonts w:ascii="Arial" w:hAnsi="Arial" w:cs="Arial"/>
          </w:rPr>
          <w:t>https://www.te.gob.mx/publicaciones/content/protocolo-para-la-atenci%C3%B3n-de-la-violencia-pol%C3%ADtica-contra-las-mujeres-en-raz%C3%B3n-de-g%C3%A9nero</w:t>
        </w:r>
      </w:hyperlink>
    </w:p>
    <w:p w14:paraId="031074D3" w14:textId="295E72AF" w:rsidR="00EC6544" w:rsidRDefault="00EC6544" w:rsidP="00BC78E7">
      <w:pPr>
        <w:spacing w:line="276" w:lineRule="auto"/>
        <w:jc w:val="both"/>
        <w:rPr>
          <w:rFonts w:ascii="Arial" w:hAnsi="Arial" w:cs="Arial"/>
          <w:lang w:val="es-ES_tradnl"/>
        </w:rPr>
      </w:pPr>
    </w:p>
    <w:p w14:paraId="2762679D" w14:textId="35227397" w:rsidR="00EC6544" w:rsidRDefault="00EC6544" w:rsidP="00BC78E7">
      <w:pPr>
        <w:spacing w:line="276" w:lineRule="auto"/>
        <w:jc w:val="both"/>
        <w:rPr>
          <w:rFonts w:ascii="Arial" w:hAnsi="Arial" w:cs="Arial"/>
          <w:bCs/>
        </w:rPr>
      </w:pPr>
      <w:r w:rsidRPr="0089230D">
        <w:rPr>
          <w:rFonts w:ascii="Arial" w:hAnsi="Arial" w:cs="Arial"/>
          <w:bCs/>
        </w:rPr>
        <w:t>Protocolo para Juzgar con Perspectiva de Género</w:t>
      </w:r>
      <w:r w:rsidR="00A10DF3">
        <w:rPr>
          <w:rFonts w:ascii="Arial" w:hAnsi="Arial" w:cs="Arial"/>
          <w:bCs/>
        </w:rPr>
        <w:t xml:space="preserve">. 2020. </w:t>
      </w:r>
      <w:proofErr w:type="spellStart"/>
      <w:proofErr w:type="gramStart"/>
      <w:r w:rsidR="00A10DF3">
        <w:rPr>
          <w:rFonts w:ascii="Arial" w:hAnsi="Arial" w:cs="Arial"/>
          <w:bCs/>
        </w:rPr>
        <w:t>SCJN:México</w:t>
      </w:r>
      <w:proofErr w:type="spellEnd"/>
      <w:proofErr w:type="gramEnd"/>
      <w:r w:rsidR="00A10DF3">
        <w:rPr>
          <w:rFonts w:ascii="Arial" w:hAnsi="Arial" w:cs="Arial"/>
          <w:bCs/>
        </w:rPr>
        <w:t xml:space="preserve">. Disponible en: </w:t>
      </w:r>
      <w:hyperlink r:id="rId12" w:history="1">
        <w:r w:rsidR="00A10DF3" w:rsidRPr="00DD0F59">
          <w:rPr>
            <w:rStyle w:val="Hipervnculo"/>
            <w:rFonts w:ascii="Arial" w:hAnsi="Arial" w:cs="Arial"/>
            <w:bCs/>
          </w:rPr>
          <w:t>https://www.scjn.gob.mx/derechos-humanos/protocolos-de-actuacion/para-juzgar-con-perspectiva-de-genero</w:t>
        </w:r>
      </w:hyperlink>
      <w:r w:rsidR="00A10DF3">
        <w:rPr>
          <w:rFonts w:ascii="Arial" w:hAnsi="Arial" w:cs="Arial"/>
          <w:bCs/>
        </w:rPr>
        <w:t xml:space="preserve">. </w:t>
      </w:r>
    </w:p>
    <w:p w14:paraId="44277D46" w14:textId="39FDC776" w:rsidR="00EC148C" w:rsidRDefault="00EC148C" w:rsidP="00BC78E7">
      <w:pPr>
        <w:spacing w:line="276" w:lineRule="auto"/>
        <w:jc w:val="both"/>
        <w:rPr>
          <w:rFonts w:ascii="Arial" w:hAnsi="Arial" w:cs="Arial"/>
          <w:bCs/>
        </w:rPr>
      </w:pPr>
    </w:p>
    <w:p w14:paraId="4AE882A8" w14:textId="269717FF" w:rsidR="001B088F" w:rsidRDefault="001B088F" w:rsidP="00BC78E7">
      <w:pPr>
        <w:spacing w:line="276" w:lineRule="auto"/>
        <w:ind w:left="709" w:hanging="709"/>
        <w:jc w:val="both"/>
        <w:rPr>
          <w:rFonts w:ascii="Arial" w:hAnsi="Arial" w:cs="Arial"/>
        </w:rPr>
      </w:pPr>
      <w:proofErr w:type="spellStart"/>
      <w:r w:rsidRPr="003B134B">
        <w:rPr>
          <w:rFonts w:ascii="Arial" w:hAnsi="Arial" w:cs="Arial"/>
        </w:rPr>
        <w:t>Segato</w:t>
      </w:r>
      <w:proofErr w:type="spellEnd"/>
      <w:r w:rsidRPr="003B134B">
        <w:rPr>
          <w:rFonts w:ascii="Arial" w:hAnsi="Arial" w:cs="Arial"/>
        </w:rPr>
        <w:t xml:space="preserve">. Rita. 2010. Las estructuras elementales de la violencia. Ensayos sobre género entre la antropología, el psicoanálisis y los derechos humanos. Buenos </w:t>
      </w:r>
      <w:proofErr w:type="spellStart"/>
      <w:proofErr w:type="gramStart"/>
      <w:r w:rsidRPr="003B134B">
        <w:rPr>
          <w:rFonts w:ascii="Arial" w:hAnsi="Arial" w:cs="Arial"/>
        </w:rPr>
        <w:t>Aires:Prometeo</w:t>
      </w:r>
      <w:proofErr w:type="spellEnd"/>
      <w:proofErr w:type="gramEnd"/>
    </w:p>
    <w:p w14:paraId="0D804EA2" w14:textId="77777777" w:rsidR="001B088F" w:rsidRPr="003B134B" w:rsidRDefault="001B088F" w:rsidP="00BC78E7">
      <w:pPr>
        <w:spacing w:line="276" w:lineRule="auto"/>
        <w:ind w:left="709" w:hanging="709"/>
        <w:jc w:val="both"/>
        <w:rPr>
          <w:rFonts w:ascii="Arial" w:hAnsi="Arial" w:cs="Arial"/>
        </w:rPr>
      </w:pPr>
    </w:p>
    <w:p w14:paraId="38C95B23" w14:textId="1CC1500A" w:rsidR="00EC148C" w:rsidRDefault="00EC148C" w:rsidP="00BC78E7">
      <w:pPr>
        <w:spacing w:line="276" w:lineRule="auto"/>
        <w:ind w:left="709" w:hanging="709"/>
        <w:jc w:val="both"/>
        <w:rPr>
          <w:rFonts w:ascii="Arial" w:hAnsi="Arial" w:cs="Arial"/>
        </w:rPr>
      </w:pPr>
      <w:r w:rsidRPr="00CD6434">
        <w:rPr>
          <w:rFonts w:ascii="Arial" w:hAnsi="Arial" w:cs="Arial"/>
        </w:rPr>
        <w:t>Sierra, María Teresa</w:t>
      </w:r>
      <w:r>
        <w:rPr>
          <w:rFonts w:ascii="Arial" w:hAnsi="Arial" w:cs="Arial"/>
        </w:rPr>
        <w:t xml:space="preserve">. </w:t>
      </w:r>
      <w:r w:rsidRPr="00CD6434">
        <w:rPr>
          <w:rFonts w:ascii="Arial" w:hAnsi="Arial" w:cs="Arial"/>
        </w:rPr>
        <w:t xml:space="preserve">2009. “Las mujeres indígenas ante la justicia comunitaria. Perspectivas desde la interculturalidad y los derechos” en </w:t>
      </w:r>
      <w:r w:rsidRPr="00CD6434">
        <w:rPr>
          <w:rFonts w:ascii="Arial" w:hAnsi="Arial" w:cs="Arial"/>
          <w:i/>
        </w:rPr>
        <w:t>Desacatos</w:t>
      </w:r>
      <w:r w:rsidRPr="00CD6434">
        <w:rPr>
          <w:rFonts w:ascii="Arial" w:hAnsi="Arial" w:cs="Arial"/>
        </w:rPr>
        <w:t>, núm. 31, septiembre-diciembre, p. 76.</w:t>
      </w:r>
    </w:p>
    <w:p w14:paraId="3F28420F" w14:textId="067B1CA8" w:rsidR="00EC148C" w:rsidRDefault="00EC148C" w:rsidP="00BC78E7">
      <w:pPr>
        <w:spacing w:line="276" w:lineRule="auto"/>
        <w:jc w:val="both"/>
        <w:rPr>
          <w:rFonts w:ascii="Arial" w:hAnsi="Arial" w:cs="Arial"/>
        </w:rPr>
      </w:pPr>
    </w:p>
    <w:p w14:paraId="704FE472" w14:textId="3B77F4E0" w:rsidR="00BC78E7" w:rsidRDefault="00EC148C" w:rsidP="00BC78E7">
      <w:pPr>
        <w:spacing w:line="276" w:lineRule="auto"/>
        <w:jc w:val="both"/>
        <w:rPr>
          <w:rFonts w:ascii="Arial" w:hAnsi="Arial" w:cs="Arial"/>
          <w:bCs/>
        </w:rPr>
      </w:pPr>
      <w:r w:rsidRPr="009404BE">
        <w:rPr>
          <w:rFonts w:ascii="Arial" w:hAnsi="Arial" w:cs="Arial"/>
        </w:rPr>
        <w:t>Sentencia</w:t>
      </w:r>
      <w:r w:rsidR="001B088F">
        <w:rPr>
          <w:rFonts w:ascii="Arial" w:hAnsi="Arial" w:cs="Arial"/>
        </w:rPr>
        <w:t xml:space="preserve">s </w:t>
      </w:r>
      <w:r w:rsidR="009404BE" w:rsidRPr="009404BE">
        <w:rPr>
          <w:rFonts w:ascii="Arial" w:hAnsi="Arial" w:cs="Arial"/>
        </w:rPr>
        <w:t>SUP-REC-531/2018</w:t>
      </w:r>
      <w:r w:rsidR="001B088F">
        <w:rPr>
          <w:rFonts w:ascii="Arial" w:hAnsi="Arial" w:cs="Arial"/>
          <w:b/>
          <w:bCs/>
        </w:rPr>
        <w:t xml:space="preserve">. </w:t>
      </w:r>
      <w:r w:rsidR="009404BE" w:rsidRPr="009404BE">
        <w:rPr>
          <w:rFonts w:ascii="Arial" w:hAnsi="Arial" w:cs="Arial"/>
          <w:bCs/>
        </w:rPr>
        <w:t xml:space="preserve">Disponible en: </w:t>
      </w:r>
      <w:hyperlink r:id="rId13" w:history="1">
        <w:r w:rsidR="009404BE" w:rsidRPr="009404BE">
          <w:rPr>
            <w:rStyle w:val="Hipervnculo"/>
            <w:rFonts w:ascii="Arial" w:hAnsi="Arial" w:cs="Arial"/>
            <w:bCs/>
          </w:rPr>
          <w:t>https://www.te.gob.mx/buscador/</w:t>
        </w:r>
      </w:hyperlink>
      <w:r w:rsidR="009404BE" w:rsidRPr="009404BE">
        <w:rPr>
          <w:rFonts w:ascii="Arial" w:hAnsi="Arial" w:cs="Arial"/>
          <w:bCs/>
        </w:rPr>
        <w:t xml:space="preserve">. </w:t>
      </w:r>
    </w:p>
    <w:p w14:paraId="2DC6179E" w14:textId="2384DF51" w:rsidR="00BC78E7" w:rsidRPr="00BC78E7" w:rsidRDefault="001B088F" w:rsidP="00BC78E7">
      <w:pPr>
        <w:spacing w:line="276" w:lineRule="auto"/>
        <w:jc w:val="both"/>
        <w:rPr>
          <w:rFonts w:ascii="Arial" w:hAnsi="Arial" w:cs="Arial"/>
          <w:bCs/>
        </w:rPr>
      </w:pPr>
      <w:r>
        <w:rPr>
          <w:rFonts w:ascii="Arial" w:hAnsi="Arial" w:cs="Arial"/>
          <w:lang w:val="en-US"/>
        </w:rPr>
        <w:t>---------------.</w:t>
      </w:r>
      <w:r w:rsidRPr="00B42B97">
        <w:rPr>
          <w:rFonts w:ascii="Arial" w:hAnsi="Arial" w:cs="Arial"/>
          <w:lang w:val="en-US"/>
        </w:rPr>
        <w:t>SUP-REP-252/2018</w:t>
      </w:r>
      <w:r>
        <w:rPr>
          <w:rFonts w:ascii="Arial" w:hAnsi="Arial" w:cs="Arial"/>
          <w:lang w:val="en-US"/>
        </w:rPr>
        <w:t xml:space="preserve">. </w:t>
      </w:r>
      <w:r w:rsidRPr="009404BE">
        <w:rPr>
          <w:rFonts w:ascii="Arial" w:hAnsi="Arial" w:cs="Arial"/>
          <w:bCs/>
        </w:rPr>
        <w:t xml:space="preserve">Disponible en: </w:t>
      </w:r>
      <w:hyperlink r:id="rId14" w:history="1">
        <w:r w:rsidRPr="009404BE">
          <w:rPr>
            <w:rStyle w:val="Hipervnculo"/>
            <w:rFonts w:ascii="Arial" w:hAnsi="Arial" w:cs="Arial"/>
            <w:bCs/>
          </w:rPr>
          <w:t>https://www.te.gob.mx/buscador/</w:t>
        </w:r>
      </w:hyperlink>
      <w:r w:rsidRPr="009404BE">
        <w:rPr>
          <w:rFonts w:ascii="Arial" w:hAnsi="Arial" w:cs="Arial"/>
          <w:bCs/>
        </w:rPr>
        <w:t>.</w:t>
      </w:r>
    </w:p>
    <w:p w14:paraId="7FAF868D" w14:textId="553EDBC4" w:rsidR="001B088F" w:rsidRPr="001B088F" w:rsidRDefault="001B088F" w:rsidP="00BC78E7">
      <w:pPr>
        <w:tabs>
          <w:tab w:val="left" w:pos="1276"/>
        </w:tabs>
        <w:spacing w:line="276" w:lineRule="auto"/>
        <w:jc w:val="both"/>
        <w:rPr>
          <w:rFonts w:ascii="Arial" w:hAnsi="Arial" w:cs="Arial"/>
          <w:bCs/>
        </w:rPr>
      </w:pPr>
      <w:r>
        <w:rPr>
          <w:rFonts w:ascii="Arial" w:hAnsi="Arial" w:cs="Arial"/>
          <w:lang w:val="en-US"/>
        </w:rPr>
        <w:t>---------------.</w:t>
      </w:r>
      <w:r w:rsidRPr="00B42B97">
        <w:rPr>
          <w:rFonts w:ascii="Arial" w:hAnsi="Arial" w:cs="Arial"/>
          <w:lang w:val="en-US"/>
        </w:rPr>
        <w:t>SUP-REP-602/2018 y SUP-REP-612/2018</w:t>
      </w:r>
      <w:r>
        <w:rPr>
          <w:rFonts w:ascii="Arial" w:hAnsi="Arial" w:cs="Arial"/>
          <w:lang w:val="en-US"/>
        </w:rPr>
        <w:t xml:space="preserve">. </w:t>
      </w:r>
      <w:r w:rsidRPr="009404BE">
        <w:rPr>
          <w:rFonts w:ascii="Arial" w:hAnsi="Arial" w:cs="Arial"/>
          <w:bCs/>
        </w:rPr>
        <w:t xml:space="preserve">Disponible en: </w:t>
      </w:r>
      <w:hyperlink r:id="rId15" w:history="1">
        <w:r w:rsidRPr="009404BE">
          <w:rPr>
            <w:rStyle w:val="Hipervnculo"/>
            <w:rFonts w:ascii="Arial" w:hAnsi="Arial" w:cs="Arial"/>
            <w:bCs/>
          </w:rPr>
          <w:t>https://www.te.gob.mx/buscador/</w:t>
        </w:r>
      </w:hyperlink>
      <w:r w:rsidRPr="009404BE">
        <w:rPr>
          <w:rFonts w:ascii="Arial" w:hAnsi="Arial" w:cs="Arial"/>
          <w:bCs/>
        </w:rPr>
        <w:t>.</w:t>
      </w:r>
    </w:p>
    <w:p w14:paraId="1020CD25" w14:textId="51E751F4" w:rsidR="001B088F" w:rsidRDefault="001B088F" w:rsidP="00BC78E7">
      <w:pPr>
        <w:spacing w:line="276" w:lineRule="auto"/>
        <w:jc w:val="both"/>
        <w:rPr>
          <w:rFonts w:ascii="Arial" w:hAnsi="Arial" w:cs="Arial"/>
          <w:lang w:val="en-US"/>
        </w:rPr>
      </w:pPr>
      <w:r>
        <w:rPr>
          <w:rFonts w:ascii="Arial" w:hAnsi="Arial" w:cs="Arial"/>
          <w:lang w:val="en-US"/>
        </w:rPr>
        <w:t xml:space="preserve">--------------. </w:t>
      </w:r>
      <w:r w:rsidRPr="00B42B97">
        <w:rPr>
          <w:rFonts w:ascii="Arial" w:hAnsi="Arial" w:cs="Arial"/>
          <w:lang w:val="en-US"/>
        </w:rPr>
        <w:t>SUP-REP-623/2018</w:t>
      </w:r>
      <w:r>
        <w:rPr>
          <w:rFonts w:ascii="Arial" w:hAnsi="Arial" w:cs="Arial"/>
          <w:lang w:val="en-US"/>
        </w:rPr>
        <w:t xml:space="preserve">. </w:t>
      </w:r>
      <w:r w:rsidRPr="009404BE">
        <w:rPr>
          <w:rFonts w:ascii="Arial" w:hAnsi="Arial" w:cs="Arial"/>
          <w:bCs/>
        </w:rPr>
        <w:t xml:space="preserve">Disponible en: </w:t>
      </w:r>
      <w:hyperlink r:id="rId16" w:history="1">
        <w:r w:rsidRPr="009404BE">
          <w:rPr>
            <w:rStyle w:val="Hipervnculo"/>
            <w:rFonts w:ascii="Arial" w:hAnsi="Arial" w:cs="Arial"/>
            <w:bCs/>
          </w:rPr>
          <w:t>https://www.te.gob.mx/buscador/</w:t>
        </w:r>
      </w:hyperlink>
      <w:r w:rsidRPr="009404BE">
        <w:rPr>
          <w:rFonts w:ascii="Arial" w:hAnsi="Arial" w:cs="Arial"/>
          <w:bCs/>
        </w:rPr>
        <w:t>.</w:t>
      </w:r>
    </w:p>
    <w:p w14:paraId="20543591" w14:textId="68AB568F" w:rsidR="00EC148C" w:rsidRDefault="001B088F" w:rsidP="00BC78E7">
      <w:pPr>
        <w:spacing w:line="276" w:lineRule="auto"/>
        <w:jc w:val="both"/>
        <w:rPr>
          <w:rFonts w:ascii="Arial" w:hAnsi="Arial" w:cs="Arial"/>
        </w:rPr>
      </w:pPr>
      <w:r>
        <w:rPr>
          <w:rFonts w:ascii="Arial" w:hAnsi="Arial" w:cs="Arial"/>
          <w:lang w:val="en-US"/>
        </w:rPr>
        <w:t xml:space="preserve">--------------. </w:t>
      </w:r>
      <w:r w:rsidRPr="00B42B97">
        <w:rPr>
          <w:rFonts w:ascii="Arial" w:hAnsi="Arial" w:cs="Arial"/>
          <w:lang w:val="en-US"/>
        </w:rPr>
        <w:t>SUP-REP-627/2018</w:t>
      </w:r>
      <w:r>
        <w:rPr>
          <w:rFonts w:ascii="Arial" w:hAnsi="Arial" w:cs="Arial"/>
          <w:lang w:val="en-US"/>
        </w:rPr>
        <w:t xml:space="preserve">. </w:t>
      </w:r>
      <w:r w:rsidRPr="009404BE">
        <w:rPr>
          <w:rFonts w:ascii="Arial" w:hAnsi="Arial" w:cs="Arial"/>
          <w:bCs/>
        </w:rPr>
        <w:t xml:space="preserve">Disponible en: </w:t>
      </w:r>
      <w:hyperlink r:id="rId17" w:history="1">
        <w:r w:rsidRPr="009404BE">
          <w:rPr>
            <w:rStyle w:val="Hipervnculo"/>
            <w:rFonts w:ascii="Arial" w:hAnsi="Arial" w:cs="Arial"/>
            <w:bCs/>
          </w:rPr>
          <w:t>https://www.te.gob.mx/buscador/</w:t>
        </w:r>
      </w:hyperlink>
      <w:r w:rsidRPr="009404BE">
        <w:rPr>
          <w:rFonts w:ascii="Arial" w:hAnsi="Arial" w:cs="Arial"/>
          <w:bCs/>
        </w:rPr>
        <w:t xml:space="preserve">. </w:t>
      </w:r>
      <w:r w:rsidRPr="008142C7">
        <w:rPr>
          <w:rFonts w:ascii="Arial" w:hAnsi="Arial" w:cs="Arial"/>
        </w:rPr>
        <w:t xml:space="preserve"> </w:t>
      </w:r>
    </w:p>
    <w:p w14:paraId="660D7275" w14:textId="1E55C804" w:rsidR="001B088F" w:rsidRDefault="001B088F" w:rsidP="00BC78E7">
      <w:pPr>
        <w:spacing w:line="276" w:lineRule="auto"/>
        <w:jc w:val="both"/>
        <w:rPr>
          <w:rFonts w:ascii="Arial" w:hAnsi="Arial" w:cs="Arial"/>
        </w:rPr>
      </w:pPr>
      <w:r>
        <w:rPr>
          <w:rFonts w:ascii="Arial" w:hAnsi="Arial" w:cs="Arial"/>
        </w:rPr>
        <w:t xml:space="preserve">--------------. </w:t>
      </w:r>
      <w:r w:rsidRPr="002D729A">
        <w:rPr>
          <w:rFonts w:ascii="Arial" w:hAnsi="Arial" w:cs="Arial"/>
        </w:rPr>
        <w:t>SUP-REC-594/2019</w:t>
      </w:r>
      <w:r>
        <w:rPr>
          <w:rFonts w:ascii="Arial" w:hAnsi="Arial" w:cs="Arial"/>
        </w:rPr>
        <w:t xml:space="preserve">. </w:t>
      </w:r>
      <w:r w:rsidRPr="009404BE">
        <w:rPr>
          <w:rFonts w:ascii="Arial" w:hAnsi="Arial" w:cs="Arial"/>
          <w:bCs/>
        </w:rPr>
        <w:t xml:space="preserve">Disponible en: </w:t>
      </w:r>
      <w:hyperlink r:id="rId18" w:history="1">
        <w:r w:rsidRPr="009404BE">
          <w:rPr>
            <w:rStyle w:val="Hipervnculo"/>
            <w:rFonts w:ascii="Arial" w:hAnsi="Arial" w:cs="Arial"/>
            <w:bCs/>
          </w:rPr>
          <w:t>https://www.te.gob.mx/buscador/</w:t>
        </w:r>
      </w:hyperlink>
      <w:r w:rsidRPr="009404BE">
        <w:rPr>
          <w:rFonts w:ascii="Arial" w:hAnsi="Arial" w:cs="Arial"/>
          <w:bCs/>
        </w:rPr>
        <w:t>.</w:t>
      </w:r>
    </w:p>
    <w:p w14:paraId="48E2B256" w14:textId="580620E1" w:rsidR="001B088F" w:rsidRDefault="001B088F" w:rsidP="00BC78E7">
      <w:pPr>
        <w:spacing w:line="276" w:lineRule="auto"/>
        <w:jc w:val="both"/>
        <w:rPr>
          <w:rFonts w:ascii="Arial" w:hAnsi="Arial" w:cs="Arial"/>
        </w:rPr>
      </w:pPr>
      <w:r>
        <w:rPr>
          <w:rFonts w:ascii="Arial" w:hAnsi="Arial" w:cs="Arial"/>
        </w:rPr>
        <w:t xml:space="preserve">--------------. SUP-JDC-156/2019. </w:t>
      </w:r>
      <w:r w:rsidRPr="009404BE">
        <w:rPr>
          <w:rFonts w:ascii="Arial" w:hAnsi="Arial" w:cs="Arial"/>
          <w:bCs/>
        </w:rPr>
        <w:t xml:space="preserve">Disponible en: </w:t>
      </w:r>
      <w:hyperlink r:id="rId19" w:history="1">
        <w:r w:rsidRPr="009404BE">
          <w:rPr>
            <w:rStyle w:val="Hipervnculo"/>
            <w:rFonts w:ascii="Arial" w:hAnsi="Arial" w:cs="Arial"/>
            <w:bCs/>
          </w:rPr>
          <w:t>https://www.te.gob.mx/buscador/</w:t>
        </w:r>
      </w:hyperlink>
      <w:r w:rsidRPr="009404BE">
        <w:rPr>
          <w:rFonts w:ascii="Arial" w:hAnsi="Arial" w:cs="Arial"/>
          <w:bCs/>
        </w:rPr>
        <w:t>.</w:t>
      </w:r>
    </w:p>
    <w:p w14:paraId="2D12C8F4" w14:textId="2F36E749" w:rsidR="001B088F" w:rsidRDefault="001B088F" w:rsidP="00BC78E7">
      <w:pPr>
        <w:spacing w:line="276" w:lineRule="auto"/>
        <w:jc w:val="both"/>
        <w:rPr>
          <w:rFonts w:ascii="Arial" w:hAnsi="Arial" w:cs="Arial"/>
        </w:rPr>
      </w:pPr>
      <w:r>
        <w:rPr>
          <w:rFonts w:ascii="Arial" w:hAnsi="Arial" w:cs="Arial"/>
        </w:rPr>
        <w:t xml:space="preserve">--------------. SUP-JE-115/2019. </w:t>
      </w:r>
      <w:r w:rsidRPr="009404BE">
        <w:rPr>
          <w:rFonts w:ascii="Arial" w:hAnsi="Arial" w:cs="Arial"/>
          <w:bCs/>
        </w:rPr>
        <w:t xml:space="preserve">Disponible en: </w:t>
      </w:r>
      <w:hyperlink r:id="rId20" w:history="1">
        <w:r w:rsidRPr="009404BE">
          <w:rPr>
            <w:rStyle w:val="Hipervnculo"/>
            <w:rFonts w:ascii="Arial" w:hAnsi="Arial" w:cs="Arial"/>
            <w:bCs/>
          </w:rPr>
          <w:t>https://www.te.gob.mx/buscador/</w:t>
        </w:r>
      </w:hyperlink>
      <w:r w:rsidRPr="009404BE">
        <w:rPr>
          <w:rFonts w:ascii="Arial" w:hAnsi="Arial" w:cs="Arial"/>
          <w:bCs/>
        </w:rPr>
        <w:t>.</w:t>
      </w:r>
    </w:p>
    <w:p w14:paraId="1024924E" w14:textId="02D6F92B" w:rsidR="001B088F" w:rsidRDefault="001B088F" w:rsidP="00BC78E7">
      <w:pPr>
        <w:spacing w:line="276" w:lineRule="auto"/>
        <w:jc w:val="both"/>
        <w:rPr>
          <w:rFonts w:ascii="Arial" w:hAnsi="Arial" w:cs="Arial"/>
        </w:rPr>
      </w:pPr>
      <w:r>
        <w:rPr>
          <w:rFonts w:ascii="Arial" w:hAnsi="Arial" w:cs="Arial"/>
        </w:rPr>
        <w:t xml:space="preserve">--------------. </w:t>
      </w:r>
      <w:r w:rsidRPr="00406FA3">
        <w:rPr>
          <w:rFonts w:ascii="Arial" w:hAnsi="Arial" w:cs="Arial"/>
        </w:rPr>
        <w:t>SUP-JDC-156/2019</w:t>
      </w:r>
      <w:r>
        <w:rPr>
          <w:rFonts w:ascii="Arial" w:hAnsi="Arial" w:cs="Arial"/>
        </w:rPr>
        <w:t xml:space="preserve">. </w:t>
      </w:r>
      <w:r w:rsidRPr="009404BE">
        <w:rPr>
          <w:rFonts w:ascii="Arial" w:hAnsi="Arial" w:cs="Arial"/>
          <w:bCs/>
        </w:rPr>
        <w:t xml:space="preserve">Disponible en: </w:t>
      </w:r>
      <w:hyperlink r:id="rId21" w:history="1">
        <w:r w:rsidRPr="009404BE">
          <w:rPr>
            <w:rStyle w:val="Hipervnculo"/>
            <w:rFonts w:ascii="Arial" w:hAnsi="Arial" w:cs="Arial"/>
            <w:bCs/>
          </w:rPr>
          <w:t>https://www.te.gob.mx/buscador/</w:t>
        </w:r>
      </w:hyperlink>
      <w:r w:rsidRPr="009404BE">
        <w:rPr>
          <w:rFonts w:ascii="Arial" w:hAnsi="Arial" w:cs="Arial"/>
          <w:bCs/>
        </w:rPr>
        <w:t>.</w:t>
      </w:r>
    </w:p>
    <w:p w14:paraId="2C8BACCE" w14:textId="101645EC" w:rsidR="00EC148C" w:rsidRDefault="00EC148C" w:rsidP="00BC78E7">
      <w:pPr>
        <w:spacing w:line="276" w:lineRule="auto"/>
        <w:jc w:val="both"/>
        <w:rPr>
          <w:rFonts w:ascii="Arial" w:hAnsi="Arial" w:cs="Arial"/>
        </w:rPr>
      </w:pPr>
      <w:r>
        <w:rPr>
          <w:rFonts w:ascii="Arial" w:hAnsi="Arial" w:cs="Arial"/>
        </w:rPr>
        <w:t>--------------. SUP-REC-91/2020</w:t>
      </w:r>
      <w:r w:rsidR="001B088F">
        <w:rPr>
          <w:rFonts w:ascii="Arial" w:hAnsi="Arial" w:cs="Arial"/>
        </w:rPr>
        <w:t xml:space="preserve">. </w:t>
      </w:r>
      <w:r w:rsidR="001B088F" w:rsidRPr="009404BE">
        <w:rPr>
          <w:rFonts w:ascii="Arial" w:hAnsi="Arial" w:cs="Arial"/>
          <w:bCs/>
        </w:rPr>
        <w:t xml:space="preserve">Disponible en: </w:t>
      </w:r>
      <w:hyperlink r:id="rId22" w:history="1">
        <w:r w:rsidR="001B088F" w:rsidRPr="009404BE">
          <w:rPr>
            <w:rStyle w:val="Hipervnculo"/>
            <w:rFonts w:ascii="Arial" w:hAnsi="Arial" w:cs="Arial"/>
            <w:bCs/>
          </w:rPr>
          <w:t>https://www.te.gob.mx/buscador/</w:t>
        </w:r>
      </w:hyperlink>
      <w:r w:rsidR="001B088F" w:rsidRPr="009404BE">
        <w:rPr>
          <w:rFonts w:ascii="Arial" w:hAnsi="Arial" w:cs="Arial"/>
          <w:bCs/>
        </w:rPr>
        <w:t>.</w:t>
      </w:r>
    </w:p>
    <w:p w14:paraId="480FE7EF" w14:textId="46BB6FED" w:rsidR="00EC148C" w:rsidRDefault="00EC148C" w:rsidP="00BC78E7">
      <w:pPr>
        <w:spacing w:line="276" w:lineRule="auto"/>
        <w:jc w:val="both"/>
        <w:rPr>
          <w:rFonts w:ascii="Arial" w:hAnsi="Arial" w:cs="Arial"/>
          <w:bCs/>
        </w:rPr>
      </w:pPr>
      <w:r>
        <w:rPr>
          <w:rFonts w:ascii="Arial" w:hAnsi="Arial" w:cs="Arial"/>
        </w:rPr>
        <w:t>-------------. SUP-REC-102/2020</w:t>
      </w:r>
      <w:r w:rsidR="001B088F">
        <w:rPr>
          <w:rFonts w:ascii="Arial" w:hAnsi="Arial" w:cs="Arial"/>
        </w:rPr>
        <w:t xml:space="preserve">. </w:t>
      </w:r>
      <w:r w:rsidR="001B088F" w:rsidRPr="009404BE">
        <w:rPr>
          <w:rFonts w:ascii="Arial" w:hAnsi="Arial" w:cs="Arial"/>
          <w:bCs/>
        </w:rPr>
        <w:t xml:space="preserve">Disponible en: </w:t>
      </w:r>
      <w:hyperlink r:id="rId23" w:history="1">
        <w:r w:rsidR="001B088F" w:rsidRPr="009404BE">
          <w:rPr>
            <w:rStyle w:val="Hipervnculo"/>
            <w:rFonts w:ascii="Arial" w:hAnsi="Arial" w:cs="Arial"/>
            <w:bCs/>
          </w:rPr>
          <w:t>https://www.te.gob.mx/buscador/</w:t>
        </w:r>
      </w:hyperlink>
      <w:r w:rsidR="001B088F" w:rsidRPr="009404BE">
        <w:rPr>
          <w:rFonts w:ascii="Arial" w:hAnsi="Arial" w:cs="Arial"/>
          <w:bCs/>
        </w:rPr>
        <w:t>.</w:t>
      </w:r>
    </w:p>
    <w:p w14:paraId="1FC1C339" w14:textId="12B696A3" w:rsidR="001B088F" w:rsidRPr="001B088F" w:rsidRDefault="001B088F" w:rsidP="00BC78E7">
      <w:pPr>
        <w:spacing w:line="276" w:lineRule="auto"/>
        <w:jc w:val="both"/>
        <w:rPr>
          <w:rFonts w:ascii="Arial" w:hAnsi="Arial" w:cs="Arial"/>
        </w:rPr>
      </w:pPr>
      <w:r>
        <w:rPr>
          <w:rFonts w:ascii="Arial" w:hAnsi="Arial" w:cs="Arial"/>
        </w:rPr>
        <w:t xml:space="preserve">-------------. SUP-REC-133/2020. </w:t>
      </w:r>
      <w:r w:rsidRPr="009404BE">
        <w:rPr>
          <w:rFonts w:ascii="Arial" w:hAnsi="Arial" w:cs="Arial"/>
          <w:bCs/>
        </w:rPr>
        <w:t xml:space="preserve">Disponible en: </w:t>
      </w:r>
      <w:hyperlink r:id="rId24" w:history="1">
        <w:r w:rsidRPr="009404BE">
          <w:rPr>
            <w:rStyle w:val="Hipervnculo"/>
            <w:rFonts w:ascii="Arial" w:hAnsi="Arial" w:cs="Arial"/>
            <w:bCs/>
          </w:rPr>
          <w:t>https://www.te.gob.mx/buscador/</w:t>
        </w:r>
      </w:hyperlink>
      <w:r w:rsidRPr="009404BE">
        <w:rPr>
          <w:rFonts w:ascii="Arial" w:hAnsi="Arial" w:cs="Arial"/>
          <w:bCs/>
        </w:rPr>
        <w:t>.</w:t>
      </w:r>
    </w:p>
    <w:p w14:paraId="7DAFFF94" w14:textId="01BDA1C4" w:rsidR="001B088F" w:rsidRDefault="001B088F" w:rsidP="00BC78E7">
      <w:pPr>
        <w:spacing w:line="276" w:lineRule="auto"/>
        <w:jc w:val="both"/>
        <w:rPr>
          <w:rFonts w:ascii="Arial" w:hAnsi="Arial" w:cs="Arial"/>
        </w:rPr>
      </w:pPr>
      <w:r>
        <w:rPr>
          <w:rFonts w:ascii="Arial" w:hAnsi="Arial" w:cs="Arial"/>
        </w:rPr>
        <w:t xml:space="preserve">-------------. SUP-REC-164/2020. </w:t>
      </w:r>
      <w:r w:rsidRPr="009404BE">
        <w:rPr>
          <w:rFonts w:ascii="Arial" w:hAnsi="Arial" w:cs="Arial"/>
          <w:bCs/>
        </w:rPr>
        <w:t xml:space="preserve">Disponible en: </w:t>
      </w:r>
      <w:hyperlink r:id="rId25" w:history="1">
        <w:r w:rsidRPr="009404BE">
          <w:rPr>
            <w:rStyle w:val="Hipervnculo"/>
            <w:rFonts w:ascii="Arial" w:hAnsi="Arial" w:cs="Arial"/>
            <w:bCs/>
          </w:rPr>
          <w:t>https://www.te.gob.mx/buscador/</w:t>
        </w:r>
      </w:hyperlink>
      <w:r w:rsidRPr="009404BE">
        <w:rPr>
          <w:rFonts w:ascii="Arial" w:hAnsi="Arial" w:cs="Arial"/>
          <w:bCs/>
        </w:rPr>
        <w:t>.</w:t>
      </w:r>
    </w:p>
    <w:p w14:paraId="6672C03A" w14:textId="65A68BE4" w:rsidR="00EC148C" w:rsidRDefault="00EC148C" w:rsidP="00BC78E7">
      <w:pPr>
        <w:spacing w:line="276" w:lineRule="auto"/>
        <w:jc w:val="both"/>
        <w:rPr>
          <w:rFonts w:ascii="Arial" w:hAnsi="Arial" w:cs="Arial"/>
        </w:rPr>
      </w:pPr>
      <w:r>
        <w:rPr>
          <w:rFonts w:ascii="Arial" w:hAnsi="Arial" w:cs="Arial"/>
        </w:rPr>
        <w:t>-------------. SUP-REC-185/2020</w:t>
      </w:r>
      <w:r w:rsidR="001B088F">
        <w:rPr>
          <w:rFonts w:ascii="Arial" w:hAnsi="Arial" w:cs="Arial"/>
        </w:rPr>
        <w:t xml:space="preserve">. </w:t>
      </w:r>
      <w:r w:rsidR="001B088F" w:rsidRPr="009404BE">
        <w:rPr>
          <w:rFonts w:ascii="Arial" w:hAnsi="Arial" w:cs="Arial"/>
          <w:bCs/>
        </w:rPr>
        <w:t xml:space="preserve">Disponible en: </w:t>
      </w:r>
      <w:hyperlink r:id="rId26" w:history="1">
        <w:r w:rsidR="001B088F" w:rsidRPr="009404BE">
          <w:rPr>
            <w:rStyle w:val="Hipervnculo"/>
            <w:rFonts w:ascii="Arial" w:hAnsi="Arial" w:cs="Arial"/>
            <w:bCs/>
          </w:rPr>
          <w:t>https://www.te.gob.mx/buscador/</w:t>
        </w:r>
      </w:hyperlink>
      <w:r w:rsidR="001B088F" w:rsidRPr="009404BE">
        <w:rPr>
          <w:rFonts w:ascii="Arial" w:hAnsi="Arial" w:cs="Arial"/>
          <w:bCs/>
        </w:rPr>
        <w:t>.</w:t>
      </w:r>
    </w:p>
    <w:p w14:paraId="6C95BFDB" w14:textId="73C6463A" w:rsidR="00EC6544" w:rsidRPr="00E25CD8" w:rsidRDefault="00EC6544" w:rsidP="00BC78E7">
      <w:pPr>
        <w:spacing w:line="276" w:lineRule="auto"/>
        <w:jc w:val="both"/>
        <w:rPr>
          <w:rFonts w:ascii="Arial" w:hAnsi="Arial" w:cs="Arial"/>
        </w:rPr>
      </w:pPr>
    </w:p>
    <w:p w14:paraId="28A2DFE8" w14:textId="670C30A7" w:rsidR="00C50EEA" w:rsidRDefault="00C50EEA" w:rsidP="00BC78E7">
      <w:pPr>
        <w:pStyle w:val="Textonotapie"/>
        <w:spacing w:line="276" w:lineRule="auto"/>
        <w:ind w:left="709" w:hanging="709"/>
        <w:jc w:val="both"/>
        <w:rPr>
          <w:rFonts w:ascii="Arial" w:hAnsi="Arial" w:cs="Arial"/>
          <w:bCs/>
          <w:sz w:val="24"/>
          <w:szCs w:val="24"/>
        </w:rPr>
      </w:pPr>
      <w:r w:rsidRPr="00E25CD8">
        <w:rPr>
          <w:rFonts w:ascii="Arial" w:hAnsi="Arial" w:cs="Arial"/>
          <w:sz w:val="24"/>
          <w:szCs w:val="24"/>
        </w:rPr>
        <w:lastRenderedPageBreak/>
        <w:t>Tesis aislada (Constitucional) XVII.2o.C.T.18 L (10a.).</w:t>
      </w:r>
      <w:r w:rsidR="00EC148C">
        <w:rPr>
          <w:rFonts w:ascii="Arial" w:hAnsi="Arial" w:cs="Arial"/>
          <w:sz w:val="24"/>
          <w:szCs w:val="24"/>
        </w:rPr>
        <w:t xml:space="preserve"> 2020.</w:t>
      </w:r>
      <w:r w:rsidRPr="00E25CD8">
        <w:rPr>
          <w:rFonts w:ascii="Arial" w:hAnsi="Arial" w:cs="Arial"/>
          <w:sz w:val="24"/>
          <w:szCs w:val="24"/>
        </w:rPr>
        <w:t xml:space="preserve"> </w:t>
      </w:r>
      <w:r w:rsidRPr="00E25CD8">
        <w:rPr>
          <w:rFonts w:ascii="Arial" w:hAnsi="Arial" w:cs="Arial"/>
          <w:bCs/>
          <w:sz w:val="24"/>
          <w:szCs w:val="24"/>
        </w:rPr>
        <w:t>JUICIO LABORAL PROMOVIDO POR UN ADULTO MAYOR. SI ALEGA DISCRIMINACIÓN POR SU EDAD O MANIFIESTA QUE</w:t>
      </w:r>
      <w:r w:rsidRPr="00E25CD8">
        <w:rPr>
          <w:rFonts w:ascii="Arial" w:hAnsi="Arial" w:cs="Arial"/>
          <w:b/>
          <w:sz w:val="24"/>
          <w:szCs w:val="24"/>
        </w:rPr>
        <w:t xml:space="preserve"> </w:t>
      </w:r>
      <w:r w:rsidRPr="00E25CD8">
        <w:rPr>
          <w:rFonts w:ascii="Arial" w:hAnsi="Arial" w:cs="Arial"/>
          <w:bCs/>
          <w:sz w:val="24"/>
          <w:szCs w:val="24"/>
        </w:rPr>
        <w:t>POR ELLO SE LE DESPIDIÓ INJUSTIFICADAMENTE, CORRESPONDE AL PATRÓN ACREDITAR QUE NO FUE ASÍ.</w:t>
      </w:r>
    </w:p>
    <w:p w14:paraId="2AED5515" w14:textId="77777777" w:rsidR="00E25CD8" w:rsidRPr="00E25CD8" w:rsidRDefault="00E25CD8" w:rsidP="00BC78E7">
      <w:pPr>
        <w:pStyle w:val="Textonotapie"/>
        <w:spacing w:line="276" w:lineRule="auto"/>
        <w:jc w:val="both"/>
        <w:rPr>
          <w:rFonts w:ascii="Arial" w:hAnsi="Arial" w:cs="Arial"/>
          <w:bCs/>
          <w:sz w:val="24"/>
          <w:szCs w:val="24"/>
        </w:rPr>
      </w:pPr>
    </w:p>
    <w:p w14:paraId="0B74852D" w14:textId="7BC88EDA" w:rsidR="00C50EEA" w:rsidRPr="00E25CD8" w:rsidRDefault="00C50EEA" w:rsidP="00BC78E7">
      <w:pPr>
        <w:pStyle w:val="Textonotapie"/>
        <w:spacing w:line="276" w:lineRule="auto"/>
        <w:ind w:left="709" w:hanging="709"/>
        <w:jc w:val="both"/>
        <w:rPr>
          <w:rFonts w:ascii="Arial" w:hAnsi="Arial" w:cs="Arial"/>
          <w:bCs/>
          <w:sz w:val="24"/>
          <w:szCs w:val="24"/>
        </w:rPr>
      </w:pPr>
      <w:r w:rsidRPr="00E25CD8">
        <w:rPr>
          <w:rFonts w:ascii="Arial" w:hAnsi="Arial" w:cs="Arial"/>
          <w:bCs/>
          <w:sz w:val="24"/>
          <w:szCs w:val="24"/>
        </w:rPr>
        <w:t>Tesis aislada (común) XXII.P.A.70 P (10a.). TORTURA PSICOLÓGICA EN PERSONAS PRIVADAS DE SU LIBERTAD EN LOS CENTROS DE RECLUSIÓN. CUANDO SE RECLAMA EN EL JUICIO DE AMPARO INDIRECTO, LA CARGA DE LA PRUEBA PARA ACREDITAR SU INEXISTENCIA CORRESPONDE A LAS AUTORIDADES RESPONSABLES.</w:t>
      </w:r>
    </w:p>
    <w:p w14:paraId="581D3FD3" w14:textId="77777777" w:rsidR="00E25CD8" w:rsidRPr="00E25CD8" w:rsidRDefault="00E25CD8" w:rsidP="00BC78E7">
      <w:pPr>
        <w:pStyle w:val="Textonotapie"/>
        <w:spacing w:line="276" w:lineRule="auto"/>
        <w:jc w:val="both"/>
        <w:rPr>
          <w:rFonts w:ascii="Arial" w:hAnsi="Arial" w:cs="Arial"/>
          <w:bCs/>
          <w:sz w:val="24"/>
          <w:szCs w:val="24"/>
        </w:rPr>
      </w:pPr>
    </w:p>
    <w:p w14:paraId="188104D3" w14:textId="5B6E43FF" w:rsidR="00C50EEA" w:rsidRPr="00E25CD8" w:rsidRDefault="00C50EEA" w:rsidP="00BC78E7">
      <w:pPr>
        <w:spacing w:line="276" w:lineRule="auto"/>
        <w:ind w:left="709" w:hanging="709"/>
        <w:jc w:val="both"/>
        <w:rPr>
          <w:rFonts w:ascii="Arial" w:hAnsi="Arial" w:cs="Arial"/>
          <w:bCs/>
          <w:color w:val="000000"/>
        </w:rPr>
      </w:pPr>
      <w:r w:rsidRPr="00E25CD8">
        <w:rPr>
          <w:rFonts w:ascii="Arial" w:hAnsi="Arial" w:cs="Arial"/>
          <w:bCs/>
        </w:rPr>
        <w:t>Tesis aislada (laboral) I.16o.T.54 L (10a.). TRABAJADORAS</w:t>
      </w:r>
      <w:r w:rsidRPr="00E25CD8">
        <w:rPr>
          <w:rFonts w:ascii="Arial" w:hAnsi="Arial" w:cs="Arial"/>
          <w:bCs/>
          <w:color w:val="000000"/>
        </w:rPr>
        <w:t xml:space="preserve"> DE CONFIANZA AL SERVICIO DEL ESTADO DESPEDIDAS CON MOTIVO DE SU EMBARAZO. FORMA DE DISTRIBUIR LA </w:t>
      </w:r>
      <w:r w:rsidRPr="00E25CD8">
        <w:rPr>
          <w:rStyle w:val="red"/>
          <w:rFonts w:ascii="Arial" w:hAnsi="Arial" w:cs="Arial"/>
          <w:bCs/>
          <w:color w:val="000000"/>
        </w:rPr>
        <w:t>CARGA</w:t>
      </w:r>
      <w:r w:rsidRPr="00E25CD8">
        <w:rPr>
          <w:rFonts w:ascii="Arial" w:hAnsi="Arial" w:cs="Arial"/>
          <w:bCs/>
          <w:color w:val="000000"/>
        </w:rPr>
        <w:t> DE LA </w:t>
      </w:r>
      <w:r w:rsidRPr="00E25CD8">
        <w:rPr>
          <w:rStyle w:val="red"/>
          <w:rFonts w:ascii="Arial" w:hAnsi="Arial" w:cs="Arial"/>
          <w:bCs/>
          <w:color w:val="000000"/>
        </w:rPr>
        <w:t>PRUEBA</w:t>
      </w:r>
      <w:r w:rsidRPr="00E25CD8">
        <w:rPr>
          <w:rFonts w:ascii="Arial" w:hAnsi="Arial" w:cs="Arial"/>
          <w:bCs/>
          <w:color w:val="000000"/>
        </w:rPr>
        <w:t> PARA ACREDITAR LA DISCRIMINACIÓN POR RAZÓN DE GÉNERO.</w:t>
      </w:r>
    </w:p>
    <w:p w14:paraId="5C1BA428" w14:textId="2B757A89" w:rsidR="00E91639" w:rsidRDefault="00E91639" w:rsidP="00BC78E7">
      <w:pPr>
        <w:spacing w:line="276" w:lineRule="auto"/>
        <w:jc w:val="both"/>
        <w:rPr>
          <w:rFonts w:ascii="Arial" w:hAnsi="Arial" w:cs="Arial"/>
          <w:sz w:val="20"/>
          <w:szCs w:val="20"/>
        </w:rPr>
      </w:pPr>
    </w:p>
    <w:p w14:paraId="54EA91BD" w14:textId="59E4C637" w:rsidR="00E91639" w:rsidRPr="007F4451" w:rsidRDefault="00E25CD8" w:rsidP="00BC78E7">
      <w:pPr>
        <w:spacing w:line="276" w:lineRule="auto"/>
        <w:ind w:left="709" w:hanging="709"/>
        <w:jc w:val="both"/>
        <w:rPr>
          <w:b/>
          <w:bCs/>
        </w:rPr>
      </w:pPr>
      <w:r>
        <w:rPr>
          <w:rFonts w:ascii="Arial" w:hAnsi="Arial" w:cs="Arial"/>
        </w:rPr>
        <w:t>ONU.</w:t>
      </w:r>
      <w:r w:rsidR="00E91639" w:rsidRPr="006549DA">
        <w:rPr>
          <w:rFonts w:ascii="Arial" w:hAnsi="Arial" w:cs="Arial"/>
        </w:rPr>
        <w:t xml:space="preserve"> </w:t>
      </w:r>
      <w:r>
        <w:rPr>
          <w:rFonts w:ascii="Arial" w:hAnsi="Arial" w:cs="Arial"/>
        </w:rPr>
        <w:t xml:space="preserve">1993. </w:t>
      </w:r>
      <w:r w:rsidR="00E91639" w:rsidRPr="006549DA">
        <w:rPr>
          <w:rFonts w:ascii="Arial" w:hAnsi="Arial" w:cs="Arial"/>
          <w:i/>
          <w:iCs/>
        </w:rPr>
        <w:t xml:space="preserve">Expert </w:t>
      </w:r>
      <w:proofErr w:type="spellStart"/>
      <w:r w:rsidR="00E91639" w:rsidRPr="006549DA">
        <w:rPr>
          <w:rFonts w:ascii="Arial" w:hAnsi="Arial" w:cs="Arial"/>
          <w:i/>
          <w:iCs/>
        </w:rPr>
        <w:t>Group</w:t>
      </w:r>
      <w:proofErr w:type="spellEnd"/>
      <w:r w:rsidR="00E91639" w:rsidRPr="006549DA">
        <w:rPr>
          <w:rFonts w:ascii="Arial" w:hAnsi="Arial" w:cs="Arial"/>
          <w:i/>
          <w:iCs/>
        </w:rPr>
        <w:t xml:space="preserve"> </w:t>
      </w:r>
      <w:proofErr w:type="gramStart"/>
      <w:r w:rsidR="00E91639" w:rsidRPr="006549DA">
        <w:rPr>
          <w:rFonts w:ascii="Arial" w:hAnsi="Arial" w:cs="Arial"/>
          <w:i/>
          <w:iCs/>
        </w:rPr>
        <w:t>Meeting</w:t>
      </w:r>
      <w:proofErr w:type="gramEnd"/>
      <w:r w:rsidR="00E91639" w:rsidRPr="006549DA">
        <w:rPr>
          <w:rFonts w:ascii="Arial" w:hAnsi="Arial" w:cs="Arial"/>
          <w:i/>
          <w:iCs/>
        </w:rPr>
        <w:t xml:space="preserve"> </w:t>
      </w:r>
      <w:proofErr w:type="spellStart"/>
      <w:r w:rsidR="00E91639" w:rsidRPr="006549DA">
        <w:rPr>
          <w:rFonts w:ascii="Arial" w:hAnsi="Arial" w:cs="Arial"/>
          <w:i/>
          <w:iCs/>
        </w:rPr>
        <w:t>on</w:t>
      </w:r>
      <w:proofErr w:type="spellEnd"/>
      <w:r w:rsidR="00E91639" w:rsidRPr="006549DA">
        <w:rPr>
          <w:rFonts w:ascii="Arial" w:hAnsi="Arial" w:cs="Arial"/>
          <w:i/>
          <w:iCs/>
        </w:rPr>
        <w:t xml:space="preserve"> </w:t>
      </w:r>
      <w:proofErr w:type="spellStart"/>
      <w:r w:rsidR="00E91639" w:rsidRPr="006549DA">
        <w:rPr>
          <w:rFonts w:ascii="Arial" w:hAnsi="Arial" w:cs="Arial"/>
          <w:i/>
          <w:iCs/>
        </w:rPr>
        <w:t>Measures</w:t>
      </w:r>
      <w:proofErr w:type="spellEnd"/>
      <w:r w:rsidR="00E91639" w:rsidRPr="006549DA">
        <w:rPr>
          <w:rFonts w:ascii="Arial" w:hAnsi="Arial" w:cs="Arial"/>
          <w:i/>
          <w:iCs/>
        </w:rPr>
        <w:t xml:space="preserve"> </w:t>
      </w:r>
      <w:proofErr w:type="spellStart"/>
      <w:r w:rsidR="00E91639" w:rsidRPr="006549DA">
        <w:rPr>
          <w:rFonts w:ascii="Arial" w:hAnsi="Arial" w:cs="Arial"/>
          <w:i/>
          <w:iCs/>
        </w:rPr>
        <w:t>to</w:t>
      </w:r>
      <w:proofErr w:type="spellEnd"/>
      <w:r w:rsidR="00E91639" w:rsidRPr="006549DA">
        <w:rPr>
          <w:rFonts w:ascii="Arial" w:hAnsi="Arial" w:cs="Arial"/>
          <w:i/>
          <w:iCs/>
        </w:rPr>
        <w:t xml:space="preserve"> </w:t>
      </w:r>
      <w:proofErr w:type="spellStart"/>
      <w:r w:rsidR="00E91639" w:rsidRPr="006549DA">
        <w:rPr>
          <w:rFonts w:ascii="Arial" w:hAnsi="Arial" w:cs="Arial"/>
          <w:i/>
          <w:iCs/>
        </w:rPr>
        <w:t>Eradicate</w:t>
      </w:r>
      <w:proofErr w:type="spellEnd"/>
      <w:r w:rsidR="00E91639" w:rsidRPr="006549DA">
        <w:rPr>
          <w:rFonts w:ascii="Arial" w:hAnsi="Arial" w:cs="Arial"/>
          <w:i/>
          <w:iCs/>
        </w:rPr>
        <w:t xml:space="preserve"> </w:t>
      </w:r>
      <w:proofErr w:type="spellStart"/>
      <w:r w:rsidR="00E91639" w:rsidRPr="006549DA">
        <w:rPr>
          <w:rFonts w:ascii="Arial" w:hAnsi="Arial" w:cs="Arial"/>
          <w:i/>
          <w:iCs/>
        </w:rPr>
        <w:t>Violence</w:t>
      </w:r>
      <w:proofErr w:type="spellEnd"/>
      <w:r w:rsidR="00E91639" w:rsidRPr="006549DA">
        <w:rPr>
          <w:rFonts w:ascii="Arial" w:hAnsi="Arial" w:cs="Arial"/>
          <w:i/>
          <w:iCs/>
        </w:rPr>
        <w:t xml:space="preserve"> </w:t>
      </w:r>
      <w:proofErr w:type="spellStart"/>
      <w:r w:rsidR="00E91639" w:rsidRPr="006549DA">
        <w:rPr>
          <w:rFonts w:ascii="Arial" w:hAnsi="Arial" w:cs="Arial"/>
          <w:i/>
          <w:iCs/>
        </w:rPr>
        <w:t>Against</w:t>
      </w:r>
      <w:proofErr w:type="spellEnd"/>
      <w:r w:rsidR="00E91639" w:rsidRPr="006549DA">
        <w:rPr>
          <w:rFonts w:ascii="Arial" w:hAnsi="Arial" w:cs="Arial"/>
          <w:i/>
          <w:iCs/>
        </w:rPr>
        <w:t xml:space="preserve"> </w:t>
      </w:r>
      <w:proofErr w:type="spellStart"/>
      <w:r w:rsidR="00E91639" w:rsidRPr="006549DA">
        <w:rPr>
          <w:rFonts w:ascii="Arial" w:hAnsi="Arial" w:cs="Arial"/>
          <w:i/>
          <w:iCs/>
        </w:rPr>
        <w:t>Women</w:t>
      </w:r>
      <w:proofErr w:type="spellEnd"/>
      <w:r w:rsidR="00E91639" w:rsidRPr="006549DA">
        <w:rPr>
          <w:rFonts w:ascii="Arial" w:hAnsi="Arial" w:cs="Arial"/>
          <w:i/>
          <w:iCs/>
        </w:rPr>
        <w:t xml:space="preserve">. </w:t>
      </w:r>
      <w:proofErr w:type="spellStart"/>
      <w:r w:rsidR="00E91639" w:rsidRPr="006549DA">
        <w:rPr>
          <w:rFonts w:ascii="Arial" w:hAnsi="Arial" w:cs="Arial"/>
        </w:rPr>
        <w:t>Report</w:t>
      </w:r>
      <w:proofErr w:type="spellEnd"/>
      <w:r w:rsidR="00E91639" w:rsidRPr="006549DA">
        <w:rPr>
          <w:rFonts w:ascii="Arial" w:hAnsi="Arial" w:cs="Arial"/>
        </w:rPr>
        <w:t xml:space="preserve"> (MAV/1993/1), Nueva York, División para el Adelanto de la Mujer, Departamento de Coordinación de Política y Desarrollo Sostenible.</w:t>
      </w:r>
    </w:p>
    <w:sectPr w:rsidR="00E91639" w:rsidRPr="007F4451">
      <w:headerReference w:type="even" r:id="rId27"/>
      <w:headerReference w:type="default" r:id="rId28"/>
      <w:footerReference w:type="even" r:id="rId29"/>
      <w:footerReference w:type="default" r:id="rId30"/>
      <w:headerReference w:type="first" r:id="rId31"/>
      <w:footerReference w:type="first" r:id="rId3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4928DB" w14:textId="77777777" w:rsidR="00162811" w:rsidRDefault="00162811" w:rsidP="001A3552">
      <w:r>
        <w:separator/>
      </w:r>
    </w:p>
  </w:endnote>
  <w:endnote w:type="continuationSeparator" w:id="0">
    <w:p w14:paraId="4D35750A" w14:textId="77777777" w:rsidR="00162811" w:rsidRDefault="00162811" w:rsidP="001A3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52EBE" w14:textId="77777777" w:rsidR="00EC6019" w:rsidRDefault="00EC601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2077386"/>
      <w:docPartObj>
        <w:docPartGallery w:val="Page Numbers (Bottom of Page)"/>
        <w:docPartUnique/>
      </w:docPartObj>
    </w:sdtPr>
    <w:sdtEndPr/>
    <w:sdtContent>
      <w:p w14:paraId="05CEC090" w14:textId="7FE1A631" w:rsidR="00A86B4B" w:rsidRDefault="00A86B4B">
        <w:pPr>
          <w:pStyle w:val="Piedepgina"/>
          <w:jc w:val="right"/>
        </w:pPr>
        <w:r>
          <w:fldChar w:fldCharType="begin"/>
        </w:r>
        <w:r>
          <w:instrText>PAGE   \* MERGEFORMAT</w:instrText>
        </w:r>
        <w:r>
          <w:fldChar w:fldCharType="separate"/>
        </w:r>
        <w:r>
          <w:rPr>
            <w:lang w:val="es-ES"/>
          </w:rPr>
          <w:t>2</w:t>
        </w:r>
        <w:r>
          <w:fldChar w:fldCharType="end"/>
        </w:r>
      </w:p>
    </w:sdtContent>
  </w:sdt>
  <w:p w14:paraId="304B004D" w14:textId="77777777" w:rsidR="00A86B4B" w:rsidRDefault="00A86B4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65473" w14:textId="77777777" w:rsidR="00EC6019" w:rsidRDefault="00EC601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E4BE9C" w14:textId="77777777" w:rsidR="00162811" w:rsidRDefault="00162811" w:rsidP="001A3552">
      <w:r>
        <w:separator/>
      </w:r>
    </w:p>
  </w:footnote>
  <w:footnote w:type="continuationSeparator" w:id="0">
    <w:p w14:paraId="009352EF" w14:textId="77777777" w:rsidR="00162811" w:rsidRDefault="00162811" w:rsidP="001A3552">
      <w:r>
        <w:continuationSeparator/>
      </w:r>
    </w:p>
  </w:footnote>
  <w:footnote w:id="1">
    <w:p w14:paraId="69DB5E90" w14:textId="41A721E0" w:rsidR="00A86B4B" w:rsidRPr="0040481B" w:rsidRDefault="00A86B4B">
      <w:pPr>
        <w:pStyle w:val="Textonotapie"/>
        <w:rPr>
          <w:rFonts w:ascii="Arial" w:hAnsi="Arial" w:cs="Arial"/>
        </w:rPr>
      </w:pPr>
      <w:r w:rsidRPr="0040481B">
        <w:rPr>
          <w:rStyle w:val="Refdenotaalpie"/>
          <w:rFonts w:ascii="Arial" w:hAnsi="Arial" w:cs="Arial"/>
        </w:rPr>
        <w:footnoteRef/>
      </w:r>
      <w:r w:rsidRPr="0040481B">
        <w:rPr>
          <w:rFonts w:ascii="Arial" w:hAnsi="Arial" w:cs="Arial"/>
        </w:rPr>
        <w:t xml:space="preserve"> Secretaria de Estudio y Cuenta en Sala Superior del TEPJF. </w:t>
      </w:r>
    </w:p>
  </w:footnote>
  <w:footnote w:id="2">
    <w:p w14:paraId="1EF7D1F9" w14:textId="4B8E18D9" w:rsidR="00A86B4B" w:rsidRDefault="00A86B4B" w:rsidP="00D60723">
      <w:pPr>
        <w:pStyle w:val="Textonotapie"/>
        <w:jc w:val="both"/>
      </w:pPr>
      <w:r>
        <w:rPr>
          <w:rStyle w:val="Refdenotaalpie"/>
        </w:rPr>
        <w:footnoteRef/>
      </w:r>
      <w:r>
        <w:t xml:space="preserve"> </w:t>
      </w:r>
      <w:r w:rsidRPr="002D643C">
        <w:rPr>
          <w:rFonts w:ascii="Arial" w:hAnsi="Arial" w:cs="Arial"/>
        </w:rPr>
        <w:t>Las autoridades que en conjunto emitieron y publicaron el Protocolo para la Atención de la Violencia Política contra las Mujeres en Razón de Género 2017 son: Tribunal Electoral del Poder Judicial de la Federación, el  Instituto Nacional Electoral Fiscalía Especializada para la Atención de Delitos Electorales, la Subsecretaría de Derechos Humanos de la Secretaría de Gobernación, la Fiscalía Especial para los Delitos de Violencia contra las Mujeres y Trata de Personas, el Instituto Nacional de las Mujeres Comisión Ejecutiva de Atención a Víctimas, y la Comisión Nacional para Prevenir y Erradicar la Violencia contra las Mujeres.</w:t>
      </w:r>
    </w:p>
  </w:footnote>
  <w:footnote w:id="3">
    <w:p w14:paraId="0E373E3F" w14:textId="1211F153" w:rsidR="00A86B4B" w:rsidRPr="002D643C" w:rsidRDefault="00A86B4B" w:rsidP="002D643C">
      <w:pPr>
        <w:pStyle w:val="Textonotapie"/>
        <w:jc w:val="both"/>
        <w:rPr>
          <w:rFonts w:ascii="Arial" w:hAnsi="Arial" w:cs="Arial"/>
        </w:rPr>
      </w:pPr>
      <w:r w:rsidRPr="002D643C">
        <w:rPr>
          <w:rStyle w:val="Refdenotaalpie"/>
          <w:rFonts w:ascii="Arial" w:hAnsi="Arial" w:cs="Arial"/>
        </w:rPr>
        <w:footnoteRef/>
      </w:r>
      <w:r w:rsidRPr="002D643C">
        <w:rPr>
          <w:rFonts w:ascii="Arial" w:hAnsi="Arial" w:cs="Arial"/>
        </w:rPr>
        <w:t xml:space="preserve"> </w:t>
      </w:r>
      <w:r w:rsidRPr="001468D8">
        <w:rPr>
          <w:rFonts w:ascii="Arial" w:hAnsi="Arial" w:cs="Arial"/>
        </w:rPr>
        <w:t>Abarca la violencia psicológica, física, patrimonial, económica, sexual o formas análogas que lesionen o sean susceptibles de dañar la dignidad, integridad o libertad de las mujeres</w:t>
      </w:r>
    </w:p>
  </w:footnote>
  <w:footnote w:id="4">
    <w:p w14:paraId="097DB6D5" w14:textId="77777777" w:rsidR="00A86B4B" w:rsidRPr="006549DA" w:rsidRDefault="00A86B4B" w:rsidP="001468D8">
      <w:pPr>
        <w:pStyle w:val="Textonotapie"/>
        <w:jc w:val="both"/>
        <w:rPr>
          <w:rFonts w:ascii="Arial" w:hAnsi="Arial" w:cs="Arial"/>
        </w:rPr>
      </w:pPr>
      <w:r w:rsidRPr="006549DA">
        <w:rPr>
          <w:rStyle w:val="Refdenotaalpie"/>
          <w:rFonts w:ascii="Arial" w:hAnsi="Arial" w:cs="Arial"/>
        </w:rPr>
        <w:footnoteRef/>
      </w:r>
      <w:r w:rsidRPr="006549DA">
        <w:rPr>
          <w:rFonts w:ascii="Arial" w:hAnsi="Arial" w:cs="Arial"/>
        </w:rPr>
        <w:t xml:space="preserve"> </w:t>
      </w:r>
      <w:r w:rsidRPr="006549DA">
        <w:rPr>
          <w:rFonts w:ascii="Arial" w:hAnsi="Arial" w:cs="Arial"/>
          <w:bCs/>
        </w:rPr>
        <w:t>Tales como igualdad, universalidad, interdependencia, indivisibilidad y progresividad.</w:t>
      </w:r>
    </w:p>
  </w:footnote>
  <w:footnote w:id="5">
    <w:p w14:paraId="26F74E96" w14:textId="77777777" w:rsidR="00A86B4B" w:rsidRPr="006549DA" w:rsidRDefault="00A86B4B" w:rsidP="001468D8">
      <w:pPr>
        <w:pStyle w:val="Textonotapie"/>
        <w:jc w:val="both"/>
        <w:rPr>
          <w:rFonts w:ascii="Arial" w:hAnsi="Arial" w:cs="Arial"/>
        </w:rPr>
      </w:pPr>
      <w:r w:rsidRPr="006549DA">
        <w:rPr>
          <w:rStyle w:val="Refdenotaalpie"/>
          <w:rFonts w:ascii="Arial" w:hAnsi="Arial" w:cs="Arial"/>
        </w:rPr>
        <w:footnoteRef/>
      </w:r>
      <w:r w:rsidRPr="006549DA">
        <w:rPr>
          <w:rFonts w:ascii="Arial" w:hAnsi="Arial" w:cs="Arial"/>
        </w:rPr>
        <w:t xml:space="preserve"> 1) Identificar situaciones de poder que por cuestiones de género den cuenta de un desequilibrio entre las partes; 2) Cuestionar los hechos y valorar las pruebas desechando estereotipos o prejuicios, para visualizar las situaciones de desventaja provocadas por el sexo o género; 3) En caso de pruebas insuficientes para aclarar la violencia, vulnerabilidad o discriminación por razones de género, ordenar las pruebas para visibilizar las situaciones; 4) De detectarse la situación de desventaja, cuestionar la neutralidad del derecho aplicable, y evaluar el impacto diferenciado de la solución propuesta para buscar una resolución justa e igualitaria de acuerdo al contexto de desigualdad por condiciones de género; 5) Aplicar los estándares de derechos humanos; y, 6) Procurar un lenguaje incluyente. </w:t>
      </w:r>
    </w:p>
  </w:footnote>
  <w:footnote w:id="6">
    <w:p w14:paraId="5188AAE9" w14:textId="2F3EE7C7" w:rsidR="00A86B4B" w:rsidRPr="005F2D97" w:rsidRDefault="00A86B4B" w:rsidP="005F2D97">
      <w:pPr>
        <w:pStyle w:val="Textonotapie"/>
        <w:jc w:val="both"/>
        <w:rPr>
          <w:rFonts w:ascii="Arial" w:hAnsi="Arial" w:cs="Arial"/>
        </w:rPr>
      </w:pPr>
      <w:r w:rsidRPr="005F2D97">
        <w:rPr>
          <w:rStyle w:val="Refdenotaalpie"/>
          <w:rFonts w:ascii="Arial" w:hAnsi="Arial" w:cs="Arial"/>
        </w:rPr>
        <w:footnoteRef/>
      </w:r>
      <w:r w:rsidRPr="005F2D97">
        <w:rPr>
          <w:rFonts w:ascii="Arial" w:hAnsi="Arial" w:cs="Arial"/>
        </w:rPr>
        <w:t xml:space="preserve"> La violencia política de género se puede originar por uno o más personas que se aprovechan de su cargo y funciones para generar actos que violentan los derechos de las mujeres por su condición de género, ya sea como pares, jefes o subordinados.</w:t>
      </w:r>
    </w:p>
  </w:footnote>
  <w:footnote w:id="7">
    <w:p w14:paraId="3478068D" w14:textId="503E3CEE" w:rsidR="00A86B4B" w:rsidRPr="005F2D97" w:rsidRDefault="00A86B4B" w:rsidP="005F2D97">
      <w:pPr>
        <w:pStyle w:val="Textonotapie"/>
        <w:jc w:val="both"/>
        <w:rPr>
          <w:rFonts w:ascii="Arial" w:hAnsi="Arial" w:cs="Arial"/>
        </w:rPr>
      </w:pPr>
      <w:r w:rsidRPr="005F2D97">
        <w:rPr>
          <w:rStyle w:val="Refdenotaalpie"/>
          <w:rFonts w:ascii="Arial" w:hAnsi="Arial" w:cs="Arial"/>
        </w:rPr>
        <w:footnoteRef/>
      </w:r>
      <w:r w:rsidRPr="005F2D97">
        <w:rPr>
          <w:rFonts w:ascii="Arial" w:hAnsi="Arial" w:cs="Arial"/>
        </w:rPr>
        <w:t xml:space="preserve"> </w:t>
      </w:r>
      <w:r>
        <w:rPr>
          <w:rFonts w:ascii="Arial" w:hAnsi="Arial" w:cs="Arial"/>
        </w:rPr>
        <w:t>El c</w:t>
      </w:r>
      <w:r w:rsidRPr="005F2D97">
        <w:rPr>
          <w:rFonts w:ascii="Arial" w:hAnsi="Arial" w:cs="Arial"/>
        </w:rPr>
        <w:t xml:space="preserve">aso </w:t>
      </w:r>
      <w:proofErr w:type="spellStart"/>
      <w:r w:rsidRPr="005F2D97">
        <w:rPr>
          <w:rFonts w:ascii="Arial" w:hAnsi="Arial" w:cs="Arial"/>
        </w:rPr>
        <w:t>Nadege</w:t>
      </w:r>
      <w:proofErr w:type="spellEnd"/>
      <w:r w:rsidRPr="005F2D97">
        <w:rPr>
          <w:rFonts w:ascii="Arial" w:hAnsi="Arial" w:cs="Arial"/>
        </w:rPr>
        <w:t xml:space="preserve"> </w:t>
      </w:r>
      <w:proofErr w:type="spellStart"/>
      <w:r w:rsidRPr="005F2D97">
        <w:rPr>
          <w:rFonts w:ascii="Arial" w:hAnsi="Arial" w:cs="Arial"/>
        </w:rPr>
        <w:t>Dorzema</w:t>
      </w:r>
      <w:proofErr w:type="spellEnd"/>
      <w:r w:rsidRPr="005F2D97">
        <w:rPr>
          <w:rFonts w:ascii="Arial" w:hAnsi="Arial" w:cs="Arial"/>
        </w:rPr>
        <w:t xml:space="preserve"> y otros v. República Dominicana”</w:t>
      </w:r>
      <w:r>
        <w:rPr>
          <w:rFonts w:ascii="Arial" w:hAnsi="Arial" w:cs="Arial"/>
        </w:rPr>
        <w:t xml:space="preserve"> se refiere </w:t>
      </w:r>
      <w:r w:rsidRPr="005F2D97">
        <w:rPr>
          <w:rFonts w:ascii="Arial" w:hAnsi="Arial" w:cs="Arial"/>
        </w:rPr>
        <w:t xml:space="preserve">al impacto desproporcionado de normas, acciones, políticas o en otras medidas que, aun cuando sean o parezcan ser neutrales en su formulación, o tengan un alcance general y no diferenciado, produzcan efectos negativos para ciertos grupos vulnerables”.  Por otra parte, </w:t>
      </w:r>
      <w:r>
        <w:rPr>
          <w:rFonts w:ascii="Arial" w:hAnsi="Arial" w:cs="Arial"/>
        </w:rPr>
        <w:t xml:space="preserve">en </w:t>
      </w:r>
      <w:r w:rsidRPr="005F2D97">
        <w:rPr>
          <w:rFonts w:ascii="Arial" w:hAnsi="Arial" w:cs="Arial"/>
        </w:rPr>
        <w:t xml:space="preserve">el </w:t>
      </w:r>
      <w:r>
        <w:rPr>
          <w:rFonts w:ascii="Arial" w:hAnsi="Arial" w:cs="Arial"/>
        </w:rPr>
        <w:t>c</w:t>
      </w:r>
      <w:r w:rsidRPr="005F2D97">
        <w:rPr>
          <w:rFonts w:ascii="Arial" w:hAnsi="Arial" w:cs="Arial"/>
        </w:rPr>
        <w:t xml:space="preserve">aso Átala Riffo y Niñas v. Chile, establece que </w:t>
      </w:r>
      <w:r>
        <w:rPr>
          <w:rFonts w:ascii="Arial" w:hAnsi="Arial" w:cs="Arial"/>
        </w:rPr>
        <w:t>e</w:t>
      </w:r>
      <w:r w:rsidRPr="005F2D97">
        <w:rPr>
          <w:rFonts w:ascii="Arial" w:hAnsi="Arial" w:cs="Arial"/>
        </w:rPr>
        <w:t>s posible que quien haya establecido la norma o práctica no sea consciente de esas consecuencias prácticas y, en tal caso, la intención de discriminar no es lo esencial y procede una inversión de la carga de la prueba.</w:t>
      </w:r>
    </w:p>
  </w:footnote>
  <w:footnote w:id="8">
    <w:p w14:paraId="1A360098" w14:textId="77777777" w:rsidR="00A86B4B" w:rsidRPr="005F2D97" w:rsidRDefault="00A86B4B" w:rsidP="005F2D97">
      <w:pPr>
        <w:pStyle w:val="Textonotapie"/>
        <w:jc w:val="both"/>
        <w:rPr>
          <w:rFonts w:ascii="Arial" w:hAnsi="Arial" w:cs="Arial"/>
        </w:rPr>
      </w:pPr>
      <w:r w:rsidRPr="005F2D97">
        <w:rPr>
          <w:rStyle w:val="Refdenotaalpie"/>
          <w:rFonts w:ascii="Arial" w:hAnsi="Arial" w:cs="Arial"/>
        </w:rPr>
        <w:footnoteRef/>
      </w:r>
      <w:r w:rsidRPr="005F2D97">
        <w:rPr>
          <w:rFonts w:ascii="Arial" w:hAnsi="Arial" w:cs="Arial"/>
        </w:rPr>
        <w:t xml:space="preserve"> Concepto establecido por: Comité de Derechos Humanos, el Comité contra la Discriminación Racial, el Comité para la Eliminación de la Discriminación contra la Mujer y el Comité de Derechos Económicos, Sociales y Culturales han reconocido el concepto de la discriminación indirecta.</w:t>
      </w:r>
    </w:p>
  </w:footnote>
  <w:footnote w:id="9">
    <w:p w14:paraId="6B35F49E" w14:textId="0C9A6E53" w:rsidR="00A86B4B" w:rsidRPr="006549DA" w:rsidRDefault="00A86B4B" w:rsidP="006549DA">
      <w:pPr>
        <w:pStyle w:val="Textonotapie"/>
        <w:jc w:val="both"/>
        <w:rPr>
          <w:rFonts w:ascii="Arial" w:hAnsi="Arial" w:cs="Arial"/>
        </w:rPr>
      </w:pPr>
      <w:r w:rsidRPr="006549DA">
        <w:rPr>
          <w:rStyle w:val="Refdenotaalpie"/>
          <w:rFonts w:ascii="Arial" w:hAnsi="Arial" w:cs="Arial"/>
        </w:rPr>
        <w:footnoteRef/>
      </w:r>
      <w:r w:rsidRPr="006549DA">
        <w:rPr>
          <w:rFonts w:ascii="Arial" w:hAnsi="Arial" w:cs="Arial"/>
        </w:rPr>
        <w:t xml:space="preserve"> La Relatora Especial sobre la violencia contra la mujer, sus causas y consecuencias señaló que “la discriminación basada en el origen étnico, […] y otras realidades intensifica los actos de violencia contra las mujeres”.</w:t>
      </w:r>
    </w:p>
  </w:footnote>
  <w:footnote w:id="10">
    <w:p w14:paraId="0FF636C8" w14:textId="342B7F05" w:rsidR="00A86B4B" w:rsidRPr="006549DA" w:rsidRDefault="00A86B4B" w:rsidP="006549DA">
      <w:pPr>
        <w:jc w:val="both"/>
        <w:rPr>
          <w:rFonts w:ascii="Arial" w:hAnsi="Arial" w:cs="Arial"/>
          <w:sz w:val="20"/>
          <w:szCs w:val="20"/>
        </w:rPr>
      </w:pPr>
      <w:r w:rsidRPr="006549DA">
        <w:rPr>
          <w:rStyle w:val="Refdenotaalpie"/>
          <w:rFonts w:ascii="Arial" w:hAnsi="Arial" w:cs="Arial"/>
          <w:sz w:val="20"/>
          <w:szCs w:val="20"/>
        </w:rPr>
        <w:footnoteRef/>
      </w:r>
      <w:r w:rsidRPr="006549DA">
        <w:rPr>
          <w:rFonts w:ascii="Arial" w:hAnsi="Arial" w:cs="Arial"/>
          <w:sz w:val="20"/>
          <w:szCs w:val="20"/>
        </w:rPr>
        <w:t xml:space="preserve"> </w:t>
      </w:r>
      <w:r>
        <w:rPr>
          <w:rFonts w:ascii="Arial" w:hAnsi="Arial" w:cs="Arial"/>
          <w:sz w:val="20"/>
          <w:szCs w:val="20"/>
        </w:rPr>
        <w:t>La CEDAW ha</w:t>
      </w:r>
      <w:r w:rsidRPr="006549DA">
        <w:rPr>
          <w:rFonts w:ascii="Arial" w:hAnsi="Arial" w:cs="Arial"/>
          <w:sz w:val="20"/>
          <w:szCs w:val="20"/>
        </w:rPr>
        <w:t xml:space="preserve"> destacado que esos factores incluyen el origen étnico o la raza de la mujer, la condición de minoría o indígena, […], entre otros</w:t>
      </w:r>
      <w:r>
        <w:rPr>
          <w:rFonts w:ascii="Arial" w:hAnsi="Arial" w:cs="Arial"/>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6E831" w14:textId="77777777" w:rsidR="00EC6019" w:rsidRDefault="00EC601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87401" w14:textId="6D5C69CC" w:rsidR="00EC6019" w:rsidRPr="00EC6019" w:rsidRDefault="00EC6019" w:rsidP="00EC6019">
    <w:pPr>
      <w:pStyle w:val="Encabezado"/>
      <w:jc w:val="center"/>
      <w:rPr>
        <w:rFonts w:ascii="Arial" w:hAnsi="Arial" w:cs="Arial"/>
        <w:b/>
        <w:bCs/>
        <w:sz w:val="28"/>
        <w:szCs w:val="28"/>
      </w:rPr>
    </w:pPr>
    <w:sdt>
      <w:sdtPr>
        <w:rPr>
          <w:rFonts w:ascii="Arial" w:hAnsi="Arial" w:cs="Arial"/>
          <w:b/>
          <w:bCs/>
          <w:sz w:val="28"/>
          <w:szCs w:val="28"/>
          <w:highlight w:val="yellow"/>
        </w:rPr>
        <w:id w:val="447200623"/>
        <w:docPartObj>
          <w:docPartGallery w:val="Watermarks"/>
          <w:docPartUnique/>
        </w:docPartObj>
      </w:sdtPr>
      <w:sdtContent>
        <w:r w:rsidRPr="00EC6019">
          <w:rPr>
            <w:rFonts w:ascii="Arial" w:hAnsi="Arial" w:cs="Arial"/>
            <w:b/>
            <w:bCs/>
            <w:sz w:val="28"/>
            <w:szCs w:val="28"/>
            <w:highlight w:val="yellow"/>
          </w:rPr>
          <w:pict w14:anchorId="39222B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732486" o:spid="_x0000_s2050" type="#_x0000_t136" style="position:absolute;left:0;text-align:left;margin-left:0;margin-top:0;width:494.9pt;height:164.95pt;rotation:315;z-index:-251657216;mso-position-horizontal:center;mso-position-horizontal-relative:margin;mso-position-vertical:center;mso-position-vertical-relative:margin" o:allowincell="f" fillcolor="silver" stroked="f">
              <v:fill opacity=".5"/>
              <v:textpath style="font-family:&quot;calibri&quot;;font-size:1pt" string="NO COPIAR"/>
              <w10:wrap anchorx="margin" anchory="margin"/>
            </v:shape>
          </w:pict>
        </w:r>
      </w:sdtContent>
    </w:sdt>
    <w:r w:rsidRPr="00EC6019">
      <w:rPr>
        <w:rFonts w:ascii="Arial" w:hAnsi="Arial" w:cs="Arial"/>
        <w:b/>
        <w:bCs/>
        <w:sz w:val="28"/>
        <w:szCs w:val="28"/>
        <w:highlight w:val="yellow"/>
      </w:rPr>
      <w:t>Este texto se encuentra en proceso de impresión. Por lo que queda prohibida su divulgación y copia.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C7DB8" w14:textId="77777777" w:rsidR="00EC6019" w:rsidRDefault="00EC601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552"/>
    <w:rsid w:val="00010F14"/>
    <w:rsid w:val="00080F6A"/>
    <w:rsid w:val="00087DDF"/>
    <w:rsid w:val="000E389C"/>
    <w:rsid w:val="000E7DA4"/>
    <w:rsid w:val="00105F3A"/>
    <w:rsid w:val="001468D8"/>
    <w:rsid w:val="00162811"/>
    <w:rsid w:val="001A1402"/>
    <w:rsid w:val="001A3552"/>
    <w:rsid w:val="001B088F"/>
    <w:rsid w:val="002169E2"/>
    <w:rsid w:val="00250910"/>
    <w:rsid w:val="0025353B"/>
    <w:rsid w:val="00256557"/>
    <w:rsid w:val="002D643C"/>
    <w:rsid w:val="002F0753"/>
    <w:rsid w:val="002F3189"/>
    <w:rsid w:val="002F5A1A"/>
    <w:rsid w:val="002F5FE5"/>
    <w:rsid w:val="00347B16"/>
    <w:rsid w:val="0039493A"/>
    <w:rsid w:val="003F6617"/>
    <w:rsid w:val="0040481B"/>
    <w:rsid w:val="0041290E"/>
    <w:rsid w:val="00454CD7"/>
    <w:rsid w:val="004F7103"/>
    <w:rsid w:val="00500F7F"/>
    <w:rsid w:val="00502EF5"/>
    <w:rsid w:val="0052389C"/>
    <w:rsid w:val="005D26DF"/>
    <w:rsid w:val="005F2D97"/>
    <w:rsid w:val="00616D99"/>
    <w:rsid w:val="0065032D"/>
    <w:rsid w:val="006549DA"/>
    <w:rsid w:val="006C36CB"/>
    <w:rsid w:val="006F40B9"/>
    <w:rsid w:val="006F70FE"/>
    <w:rsid w:val="00730169"/>
    <w:rsid w:val="00760AE3"/>
    <w:rsid w:val="007B1A65"/>
    <w:rsid w:val="007B69CE"/>
    <w:rsid w:val="007D181E"/>
    <w:rsid w:val="007F4451"/>
    <w:rsid w:val="00811464"/>
    <w:rsid w:val="008341D6"/>
    <w:rsid w:val="00863016"/>
    <w:rsid w:val="0088497D"/>
    <w:rsid w:val="008A72AC"/>
    <w:rsid w:val="008F56AD"/>
    <w:rsid w:val="00931C1C"/>
    <w:rsid w:val="009404BE"/>
    <w:rsid w:val="00966792"/>
    <w:rsid w:val="00996752"/>
    <w:rsid w:val="009C5879"/>
    <w:rsid w:val="009F147F"/>
    <w:rsid w:val="00A10DF3"/>
    <w:rsid w:val="00A522F1"/>
    <w:rsid w:val="00A86B4B"/>
    <w:rsid w:val="00AA1564"/>
    <w:rsid w:val="00AE1FB1"/>
    <w:rsid w:val="00AF245F"/>
    <w:rsid w:val="00B73F06"/>
    <w:rsid w:val="00B7424B"/>
    <w:rsid w:val="00B76449"/>
    <w:rsid w:val="00B97FE3"/>
    <w:rsid w:val="00BC1629"/>
    <w:rsid w:val="00BC78E7"/>
    <w:rsid w:val="00C028A7"/>
    <w:rsid w:val="00C10C50"/>
    <w:rsid w:val="00C324DF"/>
    <w:rsid w:val="00C348D0"/>
    <w:rsid w:val="00C50EEA"/>
    <w:rsid w:val="00C5151D"/>
    <w:rsid w:val="00C70013"/>
    <w:rsid w:val="00CB4EE7"/>
    <w:rsid w:val="00CC682B"/>
    <w:rsid w:val="00CD10CB"/>
    <w:rsid w:val="00CD6434"/>
    <w:rsid w:val="00CE735E"/>
    <w:rsid w:val="00D32093"/>
    <w:rsid w:val="00D3399B"/>
    <w:rsid w:val="00D60723"/>
    <w:rsid w:val="00D7033D"/>
    <w:rsid w:val="00D90045"/>
    <w:rsid w:val="00DC18BB"/>
    <w:rsid w:val="00DD7250"/>
    <w:rsid w:val="00DD7EF0"/>
    <w:rsid w:val="00DF1F72"/>
    <w:rsid w:val="00E25CD8"/>
    <w:rsid w:val="00E27ECE"/>
    <w:rsid w:val="00E47D1B"/>
    <w:rsid w:val="00E73254"/>
    <w:rsid w:val="00E73FC1"/>
    <w:rsid w:val="00E74BE2"/>
    <w:rsid w:val="00E91639"/>
    <w:rsid w:val="00E9471E"/>
    <w:rsid w:val="00EC148C"/>
    <w:rsid w:val="00EC6019"/>
    <w:rsid w:val="00EC6544"/>
    <w:rsid w:val="00EF341F"/>
    <w:rsid w:val="00F040C8"/>
    <w:rsid w:val="00F679AA"/>
    <w:rsid w:val="00F71629"/>
    <w:rsid w:val="00F81A5A"/>
    <w:rsid w:val="00F91D93"/>
    <w:rsid w:val="00FC25E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58C4E7D"/>
  <w15:chartTrackingRefBased/>
  <w15:docId w15:val="{55AC13E9-D875-497C-8EB4-C10249938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552"/>
    <w:pPr>
      <w:spacing w:after="0" w:line="240" w:lineRule="auto"/>
    </w:pPr>
    <w:rPr>
      <w:rFonts w:ascii="Times New Roman" w:hAnsi="Times New Roman" w:cs="Times New Roman"/>
      <w:sz w:val="24"/>
      <w:szCs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aliases w:val="Footnote Text Char Char Char Char Char,Footnote Text Char Char Char Char,Footnote Text Cha,Footnote reference,FA Fu,Footnote Text Char Char Char,FA Fußnotentext,FA Fu?notentext,Footnote Text Char Char,FA Fuﬂnotentext,Ca,FA Fu?notente,Ca1"/>
    <w:basedOn w:val="Normal"/>
    <w:link w:val="TextonotapieCar"/>
    <w:unhideWhenUsed/>
    <w:qFormat/>
    <w:rsid w:val="001A3552"/>
    <w:rPr>
      <w:sz w:val="20"/>
      <w:szCs w:val="20"/>
    </w:rPr>
  </w:style>
  <w:style w:type="character" w:customStyle="1" w:styleId="TextonotapieCar">
    <w:name w:val="Texto nota pie Car"/>
    <w:aliases w:val="Footnote Text Char Char Char Char Char Car,Footnote Text Char Char Char Char Car,Footnote Text Cha Car,Footnote reference Car,FA Fu Car,Footnote Text Char Char Char Car,FA Fußnotentext Car,FA Fu?notentext Car,FA Fuﬂnotentext Car"/>
    <w:basedOn w:val="Fuentedeprrafopredeter"/>
    <w:link w:val="Textonotapie"/>
    <w:uiPriority w:val="99"/>
    <w:qFormat/>
    <w:rsid w:val="001A3552"/>
    <w:rPr>
      <w:rFonts w:ascii="Times New Roman" w:hAnsi="Times New Roman" w:cs="Times New Roman"/>
      <w:sz w:val="20"/>
      <w:szCs w:val="20"/>
      <w:lang w:eastAsia="es-MX"/>
    </w:rPr>
  </w:style>
  <w:style w:type="character" w:styleId="Refdenotaalpie">
    <w:name w:val="footnote reference"/>
    <w:aliases w:val="Footnotes refss,Texto de nota al pie,Appel note de bas de page,Footnote number,referencia nota al pie,BVI fnr,f,4_G,16 Point,Superscript 6 Point,Texto nota al pie,Footnote Reference Char3,Footnote Reference Char1 Char,ftref,julio,Ref"/>
    <w:basedOn w:val="Fuentedeprrafopredeter"/>
    <w:link w:val="4GChar"/>
    <w:unhideWhenUsed/>
    <w:qFormat/>
    <w:rsid w:val="001A3552"/>
    <w:rPr>
      <w:vertAlign w:val="superscript"/>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qFormat/>
    <w:rsid w:val="0040481B"/>
    <w:pPr>
      <w:jc w:val="both"/>
    </w:pPr>
    <w:rPr>
      <w:rFonts w:asciiTheme="minorHAnsi" w:hAnsiTheme="minorHAnsi" w:cstheme="minorBidi"/>
      <w:sz w:val="22"/>
      <w:szCs w:val="22"/>
      <w:vertAlign w:val="superscript"/>
      <w:lang w:eastAsia="en-US"/>
    </w:rPr>
  </w:style>
  <w:style w:type="paragraph" w:styleId="NormalWeb">
    <w:name w:val="Normal (Web)"/>
    <w:aliases w:val="Normal (Web) Car1,Normal (Web) Car Car,Normal (Web) Car Car Car,Normal (Web) Car1 Car Car,Normal (Web) Car Car Car Car,Normal (Web) Car Car Car Car Car Car Car Car Car Car,Car Car Car,Car Car Car Car Car,Car,Car Car,Car Car C,C,Car Car Ca"/>
    <w:basedOn w:val="Normal"/>
    <w:link w:val="NormalWebCar"/>
    <w:uiPriority w:val="99"/>
    <w:qFormat/>
    <w:rsid w:val="0040481B"/>
    <w:pPr>
      <w:spacing w:before="100" w:beforeAutospacing="1" w:after="100" w:afterAutospacing="1"/>
    </w:pPr>
    <w:rPr>
      <w:rFonts w:eastAsia="Times New Roman"/>
    </w:rPr>
  </w:style>
  <w:style w:type="character" w:customStyle="1" w:styleId="NormalWebCar">
    <w:name w:val="Normal (Web) Car"/>
    <w:aliases w:val="Normal (Web) Car1 Car,Normal (Web) Car Car Car1,Normal (Web) Car Car Car Car1,Normal (Web) Car1 Car Car Car,Normal (Web) Car Car Car Car Car,Normal (Web) Car Car Car Car Car Car Car Car Car Car Car,Car Car Car Car,Car Car1,Car Car Car1"/>
    <w:basedOn w:val="Fuentedeprrafopredeter"/>
    <w:link w:val="NormalWeb"/>
    <w:uiPriority w:val="99"/>
    <w:locked/>
    <w:rsid w:val="0040481B"/>
    <w:rPr>
      <w:rFonts w:ascii="Times New Roman" w:eastAsia="Times New Roman" w:hAnsi="Times New Roman" w:cs="Times New Roman"/>
      <w:sz w:val="24"/>
      <w:szCs w:val="24"/>
      <w:lang w:eastAsia="es-MX"/>
    </w:rPr>
  </w:style>
  <w:style w:type="paragraph" w:styleId="Sinespaciado">
    <w:name w:val="No Spacing"/>
    <w:uiPriority w:val="1"/>
    <w:qFormat/>
    <w:rsid w:val="0040481B"/>
    <w:pPr>
      <w:spacing w:after="0" w:line="240" w:lineRule="auto"/>
    </w:pPr>
  </w:style>
  <w:style w:type="paragraph" w:styleId="Encabezado">
    <w:name w:val="header"/>
    <w:basedOn w:val="Normal"/>
    <w:link w:val="EncabezadoCar"/>
    <w:uiPriority w:val="99"/>
    <w:unhideWhenUsed/>
    <w:rsid w:val="004F7103"/>
    <w:pPr>
      <w:tabs>
        <w:tab w:val="center" w:pos="4419"/>
        <w:tab w:val="right" w:pos="8838"/>
      </w:tabs>
    </w:pPr>
  </w:style>
  <w:style w:type="character" w:customStyle="1" w:styleId="EncabezadoCar">
    <w:name w:val="Encabezado Car"/>
    <w:basedOn w:val="Fuentedeprrafopredeter"/>
    <w:link w:val="Encabezado"/>
    <w:uiPriority w:val="99"/>
    <w:rsid w:val="004F7103"/>
    <w:rPr>
      <w:rFonts w:ascii="Times New Roman" w:hAnsi="Times New Roman" w:cs="Times New Roman"/>
      <w:sz w:val="24"/>
      <w:szCs w:val="24"/>
      <w:lang w:eastAsia="es-MX"/>
    </w:rPr>
  </w:style>
  <w:style w:type="paragraph" w:styleId="Piedepgina">
    <w:name w:val="footer"/>
    <w:basedOn w:val="Normal"/>
    <w:link w:val="PiedepginaCar"/>
    <w:uiPriority w:val="99"/>
    <w:unhideWhenUsed/>
    <w:rsid w:val="004F7103"/>
    <w:pPr>
      <w:tabs>
        <w:tab w:val="center" w:pos="4419"/>
        <w:tab w:val="right" w:pos="8838"/>
      </w:tabs>
    </w:pPr>
  </w:style>
  <w:style w:type="character" w:customStyle="1" w:styleId="PiedepginaCar">
    <w:name w:val="Pie de página Car"/>
    <w:basedOn w:val="Fuentedeprrafopredeter"/>
    <w:link w:val="Piedepgina"/>
    <w:uiPriority w:val="99"/>
    <w:rsid w:val="004F7103"/>
    <w:rPr>
      <w:rFonts w:ascii="Times New Roman" w:hAnsi="Times New Roman" w:cs="Times New Roman"/>
      <w:sz w:val="24"/>
      <w:szCs w:val="24"/>
      <w:lang w:eastAsia="es-MX"/>
    </w:rPr>
  </w:style>
  <w:style w:type="character" w:customStyle="1" w:styleId="red">
    <w:name w:val="red"/>
    <w:basedOn w:val="Fuentedeprrafopredeter"/>
    <w:rsid w:val="005F2D97"/>
  </w:style>
  <w:style w:type="character" w:styleId="Hipervnculo">
    <w:name w:val="Hyperlink"/>
    <w:basedOn w:val="Fuentedeprrafopredeter"/>
    <w:uiPriority w:val="99"/>
    <w:unhideWhenUsed/>
    <w:rsid w:val="005D26DF"/>
    <w:rPr>
      <w:color w:val="0563C1" w:themeColor="hyperlink"/>
      <w:u w:val="single"/>
    </w:rPr>
  </w:style>
  <w:style w:type="character" w:styleId="Mencinsinresolver">
    <w:name w:val="Unresolved Mention"/>
    <w:basedOn w:val="Fuentedeprrafopredeter"/>
    <w:uiPriority w:val="99"/>
    <w:semiHidden/>
    <w:unhideWhenUsed/>
    <w:rsid w:val="009404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6714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e.gob.mx/buscador/" TargetMode="External"/><Relationship Id="rId18" Type="http://schemas.openxmlformats.org/officeDocument/2006/relationships/hyperlink" Target="https://www.te.gob.mx/buscador/" TargetMode="External"/><Relationship Id="rId26" Type="http://schemas.openxmlformats.org/officeDocument/2006/relationships/hyperlink" Target="https://www.te.gob.mx/buscador/" TargetMode="External"/><Relationship Id="rId3" Type="http://schemas.openxmlformats.org/officeDocument/2006/relationships/settings" Target="settings.xml"/><Relationship Id="rId21" Type="http://schemas.openxmlformats.org/officeDocument/2006/relationships/hyperlink" Target="https://www.te.gob.mx/buscador/" TargetMode="External"/><Relationship Id="rId34" Type="http://schemas.openxmlformats.org/officeDocument/2006/relationships/theme" Target="theme/theme1.xml"/><Relationship Id="rId7" Type="http://schemas.openxmlformats.org/officeDocument/2006/relationships/hyperlink" Target="https://www.te.gob.mx/legislacion/page/seleccion/1" TargetMode="External"/><Relationship Id="rId12" Type="http://schemas.openxmlformats.org/officeDocument/2006/relationships/hyperlink" Target="https://www.scjn.gob.mx/derechos-humanos/protocolos-de-actuacion/para-juzgar-con-perspectiva-de-genero" TargetMode="External"/><Relationship Id="rId17" Type="http://schemas.openxmlformats.org/officeDocument/2006/relationships/hyperlink" Target="https://www.te.gob.mx/buscador/" TargetMode="External"/><Relationship Id="rId25" Type="http://schemas.openxmlformats.org/officeDocument/2006/relationships/hyperlink" Target="https://www.te.gob.mx/buscador/"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te.gob.mx/buscador/" TargetMode="External"/><Relationship Id="rId20" Type="http://schemas.openxmlformats.org/officeDocument/2006/relationships/hyperlink" Target="https://www.te.gob.mx/buscador/"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te.gob.mx/publicaciones/content/protocolo-para-la-atenci%C3%B3n-de-la-violencia-pol%C3%ADtica-contra-las-mujeres-en-raz%C3%B3n-de-g%C3%A9nero" TargetMode="External"/><Relationship Id="rId24" Type="http://schemas.openxmlformats.org/officeDocument/2006/relationships/hyperlink" Target="https://www.te.gob.mx/buscador/"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te.gob.mx/buscador/" TargetMode="External"/><Relationship Id="rId23" Type="http://schemas.openxmlformats.org/officeDocument/2006/relationships/hyperlink" Target="https://www.te.gob.mx/buscador/" TargetMode="External"/><Relationship Id="rId28" Type="http://schemas.openxmlformats.org/officeDocument/2006/relationships/header" Target="header2.xml"/><Relationship Id="rId10" Type="http://schemas.openxmlformats.org/officeDocument/2006/relationships/hyperlink" Target="https://www.te.gob.mx/legislacion/page/seleccion/4" TargetMode="External"/><Relationship Id="rId19" Type="http://schemas.openxmlformats.org/officeDocument/2006/relationships/hyperlink" Target="https://www.te.gob.mx/buscador/"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diputados.gob.mx/LeyesBiblio/ref/lgamvlv.htm" TargetMode="External"/><Relationship Id="rId14" Type="http://schemas.openxmlformats.org/officeDocument/2006/relationships/hyperlink" Target="https://www.te.gob.mx/buscador/" TargetMode="External"/><Relationship Id="rId22" Type="http://schemas.openxmlformats.org/officeDocument/2006/relationships/hyperlink" Target="https://www.te.gob.mx/buscador/"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hyperlink" Target="http://www.diputados.gob.mx/LeyesBiblio/ref/lfped.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02B642-7238-4BB6-B90C-EC774A546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6190</TotalTime>
  <Pages>26</Pages>
  <Words>7276</Words>
  <Characters>40024</Characters>
  <Application>Microsoft Office Word</Application>
  <DocSecurity>0</DocSecurity>
  <Lines>333</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Roselia Bustillo Marín</dc:creator>
  <cp:keywords/>
  <dc:description/>
  <cp:lastModifiedBy>Roselia Bustillo Marín</cp:lastModifiedBy>
  <cp:revision>4</cp:revision>
  <dcterms:created xsi:type="dcterms:W3CDTF">2021-01-11T16:51:00Z</dcterms:created>
  <dcterms:modified xsi:type="dcterms:W3CDTF">2021-07-02T23:22:00Z</dcterms:modified>
</cp:coreProperties>
</file>