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5EE0" w:rsidRPr="00E44A2D" w:rsidRDefault="00A65EE0" w:rsidP="00A65EE0">
      <w:pPr>
        <w:jc w:val="center"/>
        <w:rPr>
          <w:rFonts w:ascii="Arial" w:hAnsi="Arial" w:cs="Arial"/>
          <w:b/>
          <w:bCs/>
          <w:sz w:val="28"/>
          <w:szCs w:val="28"/>
        </w:rPr>
      </w:pPr>
      <w:r>
        <w:rPr>
          <w:rFonts w:ascii="Arial" w:hAnsi="Arial" w:cs="Arial"/>
          <w:b/>
          <w:bCs/>
          <w:sz w:val="28"/>
          <w:szCs w:val="28"/>
        </w:rPr>
        <w:t>Algunos casos</w:t>
      </w:r>
      <w:r w:rsidRPr="009C528E">
        <w:rPr>
          <w:rFonts w:ascii="Arial" w:hAnsi="Arial" w:cs="Arial"/>
          <w:b/>
          <w:bCs/>
          <w:sz w:val="28"/>
          <w:szCs w:val="28"/>
        </w:rPr>
        <w:t xml:space="preserve"> sobre </w:t>
      </w:r>
      <w:r>
        <w:rPr>
          <w:rFonts w:ascii="Arial" w:hAnsi="Arial" w:cs="Arial"/>
          <w:b/>
          <w:bCs/>
          <w:sz w:val="28"/>
          <w:szCs w:val="28"/>
        </w:rPr>
        <w:t>violencia política por razón de género</w:t>
      </w:r>
    </w:p>
    <w:tbl>
      <w:tblPr>
        <w:tblStyle w:val="Tablaconcuadrcula"/>
        <w:tblW w:w="16585" w:type="dxa"/>
        <w:tblInd w:w="-714" w:type="dxa"/>
        <w:tblLook w:val="04A0" w:firstRow="1" w:lastRow="0" w:firstColumn="1" w:lastColumn="0" w:noHBand="0" w:noVBand="1"/>
      </w:tblPr>
      <w:tblGrid>
        <w:gridCol w:w="2011"/>
        <w:gridCol w:w="4850"/>
        <w:gridCol w:w="9724"/>
      </w:tblGrid>
      <w:tr w:rsidR="00A65EE0" w:rsidRPr="00D838E0" w:rsidTr="00522C07">
        <w:tc>
          <w:tcPr>
            <w:tcW w:w="16585" w:type="dxa"/>
            <w:gridSpan w:val="3"/>
            <w:tcBorders>
              <w:left w:val="single" w:sz="4" w:space="0" w:color="auto"/>
            </w:tcBorders>
            <w:shd w:val="clear" w:color="auto" w:fill="D9D9D9" w:themeFill="background1" w:themeFillShade="D9"/>
            <w:vAlign w:val="center"/>
          </w:tcPr>
          <w:p w:rsidR="00A65EE0" w:rsidRPr="00D838E0" w:rsidRDefault="00A65EE0" w:rsidP="00522C07">
            <w:pPr>
              <w:jc w:val="center"/>
              <w:rPr>
                <w:rFonts w:ascii="Arial" w:hAnsi="Arial" w:cs="Arial"/>
                <w:b/>
                <w:bCs/>
              </w:rPr>
            </w:pPr>
            <w:r>
              <w:rPr>
                <w:rFonts w:ascii="Arial" w:hAnsi="Arial" w:cs="Arial"/>
                <w:b/>
                <w:bCs/>
              </w:rPr>
              <w:t>Sala Xalapa</w:t>
            </w:r>
          </w:p>
        </w:tc>
      </w:tr>
      <w:tr w:rsidR="00A65EE0" w:rsidRPr="00D838E0" w:rsidTr="00522C07">
        <w:tc>
          <w:tcPr>
            <w:tcW w:w="2011" w:type="dxa"/>
            <w:tcBorders>
              <w:left w:val="single" w:sz="4" w:space="0" w:color="auto"/>
            </w:tcBorders>
            <w:shd w:val="clear" w:color="auto" w:fill="AF3521"/>
            <w:vAlign w:val="center"/>
          </w:tcPr>
          <w:p w:rsidR="00A65EE0" w:rsidRPr="00D838E0" w:rsidRDefault="00A65EE0" w:rsidP="00522C07">
            <w:pPr>
              <w:jc w:val="center"/>
              <w:rPr>
                <w:rFonts w:ascii="Arial" w:hAnsi="Arial" w:cs="Arial"/>
                <w:b/>
                <w:bCs/>
              </w:rPr>
            </w:pPr>
            <w:r w:rsidRPr="00D838E0">
              <w:rPr>
                <w:rFonts w:ascii="Arial" w:hAnsi="Arial" w:cs="Arial"/>
                <w:b/>
                <w:bCs/>
              </w:rPr>
              <w:t>Expediente</w:t>
            </w:r>
          </w:p>
        </w:tc>
        <w:tc>
          <w:tcPr>
            <w:tcW w:w="4850" w:type="dxa"/>
            <w:shd w:val="clear" w:color="auto" w:fill="AF3521"/>
            <w:vAlign w:val="center"/>
          </w:tcPr>
          <w:p w:rsidR="00A65EE0" w:rsidRPr="00D838E0" w:rsidRDefault="00A65EE0" w:rsidP="00522C07">
            <w:pPr>
              <w:jc w:val="center"/>
              <w:rPr>
                <w:rFonts w:ascii="Arial" w:hAnsi="Arial" w:cs="Arial"/>
                <w:b/>
                <w:bCs/>
              </w:rPr>
            </w:pPr>
            <w:r w:rsidRPr="00D838E0">
              <w:rPr>
                <w:rFonts w:ascii="Arial" w:hAnsi="Arial" w:cs="Arial"/>
                <w:b/>
                <w:bCs/>
              </w:rPr>
              <w:t>Tema</w:t>
            </w:r>
          </w:p>
        </w:tc>
        <w:tc>
          <w:tcPr>
            <w:tcW w:w="9724" w:type="dxa"/>
            <w:shd w:val="clear" w:color="auto" w:fill="AF3521"/>
            <w:vAlign w:val="center"/>
          </w:tcPr>
          <w:p w:rsidR="00A65EE0" w:rsidRPr="00D838E0" w:rsidRDefault="00A65EE0" w:rsidP="00522C07">
            <w:pPr>
              <w:jc w:val="center"/>
              <w:rPr>
                <w:rFonts w:ascii="Arial" w:hAnsi="Arial" w:cs="Arial"/>
                <w:b/>
                <w:bCs/>
              </w:rPr>
            </w:pPr>
            <w:r w:rsidRPr="00D838E0">
              <w:rPr>
                <w:rFonts w:ascii="Arial" w:hAnsi="Arial" w:cs="Arial"/>
                <w:b/>
                <w:bCs/>
              </w:rPr>
              <w:t>Determinación</w:t>
            </w:r>
          </w:p>
        </w:tc>
      </w:tr>
      <w:tr w:rsidR="00A65EE0" w:rsidRPr="00D838E0" w:rsidTr="00522C07">
        <w:tc>
          <w:tcPr>
            <w:tcW w:w="2011" w:type="dxa"/>
            <w:vAlign w:val="center"/>
          </w:tcPr>
          <w:p w:rsidR="00A65EE0" w:rsidRPr="00D838E0" w:rsidRDefault="00A65EE0" w:rsidP="00522C07">
            <w:pPr>
              <w:jc w:val="center"/>
              <w:rPr>
                <w:rFonts w:ascii="Arial" w:hAnsi="Arial" w:cs="Arial"/>
              </w:rPr>
            </w:pPr>
            <w:r w:rsidRPr="00DC7B82">
              <w:rPr>
                <w:rFonts w:ascii="Arial" w:hAnsi="Arial" w:cs="Arial"/>
              </w:rPr>
              <w:t>SX-JDC-390/2019</w:t>
            </w:r>
          </w:p>
        </w:tc>
        <w:tc>
          <w:tcPr>
            <w:tcW w:w="4850" w:type="dxa"/>
            <w:vAlign w:val="center"/>
          </w:tcPr>
          <w:p w:rsidR="00A65EE0" w:rsidRPr="00A030DE" w:rsidRDefault="00A65EE0" w:rsidP="00522C07">
            <w:pPr>
              <w:jc w:val="both"/>
              <w:rPr>
                <w:rFonts w:ascii="Arial" w:hAnsi="Arial" w:cs="Arial"/>
                <w:b/>
                <w:bCs/>
              </w:rPr>
            </w:pPr>
            <w:r w:rsidRPr="00A030DE">
              <w:rPr>
                <w:rFonts w:ascii="Arial" w:hAnsi="Arial" w:cs="Arial"/>
                <w:b/>
                <w:bCs/>
              </w:rPr>
              <w:t>VPG y Sistema normativos internos</w:t>
            </w:r>
          </w:p>
          <w:p w:rsidR="00A65EE0" w:rsidRDefault="00A65EE0" w:rsidP="00522C07">
            <w:pPr>
              <w:jc w:val="both"/>
              <w:rPr>
                <w:rFonts w:ascii="Arial" w:hAnsi="Arial" w:cs="Arial"/>
                <w:b/>
                <w:bCs/>
              </w:rPr>
            </w:pPr>
            <w:r w:rsidRPr="00A030DE">
              <w:rPr>
                <w:rFonts w:ascii="Arial" w:hAnsi="Arial" w:cs="Arial"/>
                <w:b/>
                <w:bCs/>
              </w:rPr>
              <w:t>Mujer indígena y adulta mayor</w:t>
            </w:r>
          </w:p>
          <w:p w:rsidR="00A65EE0" w:rsidRDefault="00A65EE0" w:rsidP="00522C07">
            <w:pPr>
              <w:jc w:val="both"/>
              <w:rPr>
                <w:rFonts w:ascii="Arial" w:hAnsi="Arial" w:cs="Arial"/>
                <w:b/>
                <w:bCs/>
              </w:rPr>
            </w:pPr>
          </w:p>
          <w:p w:rsidR="00A65EE0" w:rsidRDefault="00A65EE0" w:rsidP="00522C07">
            <w:pPr>
              <w:jc w:val="both"/>
              <w:rPr>
                <w:rFonts w:ascii="Arial" w:hAnsi="Arial" w:cs="Arial"/>
              </w:rPr>
            </w:pPr>
          </w:p>
          <w:p w:rsidR="00A65EE0" w:rsidRPr="00D838E0" w:rsidRDefault="00A65EE0" w:rsidP="00522C07">
            <w:pPr>
              <w:jc w:val="both"/>
              <w:rPr>
                <w:rFonts w:ascii="Arial" w:hAnsi="Arial" w:cs="Arial"/>
              </w:rPr>
            </w:pPr>
            <w:r>
              <w:rPr>
                <w:rFonts w:ascii="Arial" w:hAnsi="Arial" w:cs="Arial"/>
              </w:rPr>
              <w:t>Se impugnó</w:t>
            </w:r>
            <w:r w:rsidRPr="00DC7B82">
              <w:rPr>
                <w:rFonts w:ascii="Arial" w:hAnsi="Arial" w:cs="Arial"/>
              </w:rPr>
              <w:t xml:space="preserve"> la sentencia </w:t>
            </w:r>
            <w:r>
              <w:rPr>
                <w:rFonts w:ascii="Arial" w:hAnsi="Arial" w:cs="Arial"/>
              </w:rPr>
              <w:t xml:space="preserve">del </w:t>
            </w:r>
            <w:r w:rsidRPr="00DC7B82">
              <w:rPr>
                <w:rFonts w:ascii="Arial" w:hAnsi="Arial" w:cs="Arial"/>
              </w:rPr>
              <w:t xml:space="preserve">el Tribunal Electoral </w:t>
            </w:r>
            <w:r>
              <w:rPr>
                <w:rFonts w:ascii="Arial" w:hAnsi="Arial" w:cs="Arial"/>
              </w:rPr>
              <w:t>de</w:t>
            </w:r>
            <w:r w:rsidRPr="00DC7B82">
              <w:rPr>
                <w:rFonts w:ascii="Arial" w:hAnsi="Arial" w:cs="Arial"/>
              </w:rPr>
              <w:t xml:space="preserve"> Oaxaca </w:t>
            </w:r>
            <w:r>
              <w:rPr>
                <w:rFonts w:ascii="Arial" w:hAnsi="Arial" w:cs="Arial"/>
              </w:rPr>
              <w:t>porque</w:t>
            </w:r>
            <w:r w:rsidRPr="00DC7B82">
              <w:rPr>
                <w:rFonts w:ascii="Arial" w:hAnsi="Arial" w:cs="Arial"/>
              </w:rPr>
              <w:t xml:space="preserve"> ordenó al Presidente Municipal del ayuntamiento de Santa Catalina </w:t>
            </w:r>
            <w:proofErr w:type="spellStart"/>
            <w:r w:rsidRPr="00DC7B82">
              <w:rPr>
                <w:rFonts w:ascii="Arial" w:hAnsi="Arial" w:cs="Arial"/>
              </w:rPr>
              <w:t>Quierí</w:t>
            </w:r>
            <w:proofErr w:type="spellEnd"/>
            <w:r w:rsidRPr="00DC7B82">
              <w:rPr>
                <w:rFonts w:ascii="Arial" w:hAnsi="Arial" w:cs="Arial"/>
              </w:rPr>
              <w:t xml:space="preserve">, realizar el pago de las dietas adeudadas a la actora en su calidad de Regidora </w:t>
            </w:r>
            <w:r>
              <w:rPr>
                <w:rFonts w:ascii="Arial" w:hAnsi="Arial" w:cs="Arial"/>
              </w:rPr>
              <w:t>(</w:t>
            </w:r>
            <w:r w:rsidRPr="00105A07">
              <w:rPr>
                <w:rFonts w:ascii="Arial" w:hAnsi="Arial" w:cs="Arial"/>
              </w:rPr>
              <w:t>Angelina Vázquez</w:t>
            </w:r>
            <w:r>
              <w:rPr>
                <w:rFonts w:ascii="Arial" w:hAnsi="Arial" w:cs="Arial"/>
              </w:rPr>
              <w:t>)</w:t>
            </w:r>
            <w:r w:rsidRPr="00105A07">
              <w:rPr>
                <w:rFonts w:ascii="Arial" w:hAnsi="Arial" w:cs="Arial"/>
              </w:rPr>
              <w:t xml:space="preserve"> </w:t>
            </w:r>
            <w:r w:rsidRPr="00DC7B82">
              <w:rPr>
                <w:rFonts w:ascii="Arial" w:hAnsi="Arial" w:cs="Arial"/>
              </w:rPr>
              <w:t>y declaró que no se acreditaba la violencia política de género de la que aduce ser víctima la promovente.</w:t>
            </w:r>
          </w:p>
        </w:tc>
        <w:tc>
          <w:tcPr>
            <w:tcW w:w="9724" w:type="dxa"/>
            <w:vAlign w:val="center"/>
          </w:tcPr>
          <w:p w:rsidR="00A65EE0" w:rsidRDefault="00A65EE0" w:rsidP="00522C07">
            <w:pPr>
              <w:jc w:val="both"/>
              <w:rPr>
                <w:rFonts w:ascii="Arial" w:hAnsi="Arial" w:cs="Arial"/>
                <w:b/>
                <w:bCs/>
              </w:rPr>
            </w:pPr>
            <w:r w:rsidRPr="00D838E0">
              <w:rPr>
                <w:rFonts w:ascii="Arial" w:hAnsi="Arial" w:cs="Arial"/>
                <w:b/>
                <w:bCs/>
              </w:rPr>
              <w:t>Se acreditó VPG</w:t>
            </w:r>
          </w:p>
          <w:p w:rsidR="00A65EE0" w:rsidRDefault="00A65EE0" w:rsidP="00522C07">
            <w:pPr>
              <w:jc w:val="both"/>
              <w:rPr>
                <w:rFonts w:ascii="Arial" w:hAnsi="Arial" w:cs="Arial"/>
              </w:rPr>
            </w:pPr>
            <w:r>
              <w:rPr>
                <w:rFonts w:ascii="Arial" w:hAnsi="Arial" w:cs="Arial"/>
                <w:b/>
                <w:bCs/>
              </w:rPr>
              <w:t xml:space="preserve">Se modificó la resolución, considerando que </w:t>
            </w:r>
            <w:r w:rsidRPr="00DE6922">
              <w:rPr>
                <w:rFonts w:ascii="Arial" w:hAnsi="Arial" w:cs="Arial"/>
              </w:rPr>
              <w:t>el Tribunal local omitió atender los agravios que le fueron expuestos en el juicio de origen, de manera conjunta e integral con los hechos que refirió, con lo cual pasó por alto las circunstancias contextuales que evidenciaban que el tratamiento omisivo por parte del Presidente Municipal (de pagar las dietas y convocarla a sesiones) se daba debido a su calidad de mujer y adulta mayor.</w:t>
            </w:r>
          </w:p>
          <w:p w:rsidR="00A65EE0" w:rsidRDefault="00A65EE0" w:rsidP="00522C07">
            <w:pPr>
              <w:jc w:val="both"/>
              <w:rPr>
                <w:rFonts w:ascii="Arial" w:hAnsi="Arial" w:cs="Arial"/>
                <w:b/>
                <w:bCs/>
              </w:rPr>
            </w:pPr>
            <w:r>
              <w:rPr>
                <w:rFonts w:ascii="Arial" w:hAnsi="Arial" w:cs="Arial"/>
              </w:rPr>
              <w:t>P</w:t>
            </w:r>
            <w:r w:rsidRPr="009C0A20">
              <w:rPr>
                <w:rFonts w:ascii="Arial" w:hAnsi="Arial" w:cs="Arial"/>
              </w:rPr>
              <w:t>ese a que exist</w:t>
            </w:r>
            <w:r>
              <w:rPr>
                <w:rFonts w:ascii="Arial" w:hAnsi="Arial" w:cs="Arial"/>
              </w:rPr>
              <w:t>ía</w:t>
            </w:r>
            <w:r w:rsidRPr="009C0A20">
              <w:rPr>
                <w:rFonts w:ascii="Arial" w:hAnsi="Arial" w:cs="Arial"/>
              </w:rPr>
              <w:t xml:space="preserve"> una sentencia definitiva que ordenó la restitución de su derecho a ejercer el cargo para el cual fue electa, ésta no se ha materializado en su esfera jurídica, sin que se logre advertir una justificación objetiva y razonable para dicho incumplimiento.</w:t>
            </w:r>
          </w:p>
          <w:p w:rsidR="00A65EE0" w:rsidRPr="00D838E0" w:rsidRDefault="00A65EE0" w:rsidP="00522C07">
            <w:pPr>
              <w:jc w:val="both"/>
              <w:rPr>
                <w:rFonts w:ascii="Arial" w:hAnsi="Arial" w:cs="Arial"/>
                <w:b/>
                <w:bCs/>
              </w:rPr>
            </w:pPr>
          </w:p>
          <w:p w:rsidR="00A65EE0" w:rsidRDefault="00A65EE0" w:rsidP="00522C07">
            <w:pPr>
              <w:jc w:val="both"/>
              <w:rPr>
                <w:rFonts w:ascii="Arial" w:hAnsi="Arial" w:cs="Arial"/>
              </w:rPr>
            </w:pPr>
            <w:r>
              <w:rPr>
                <w:rFonts w:ascii="Arial" w:hAnsi="Arial" w:cs="Arial"/>
              </w:rPr>
              <w:t xml:space="preserve">Se ordenaron medidas de no repetición. </w:t>
            </w:r>
            <w:r w:rsidRPr="00105A07">
              <w:rPr>
                <w:rFonts w:ascii="Arial" w:hAnsi="Arial" w:cs="Arial"/>
              </w:rPr>
              <w:t xml:space="preserve"> </w:t>
            </w:r>
          </w:p>
          <w:p w:rsidR="00A65EE0" w:rsidRPr="00105A07" w:rsidRDefault="00A65EE0" w:rsidP="00522C07">
            <w:pPr>
              <w:jc w:val="both"/>
              <w:rPr>
                <w:rFonts w:ascii="Arial" w:hAnsi="Arial" w:cs="Arial"/>
              </w:rPr>
            </w:pPr>
            <w:r w:rsidRPr="005E68AA">
              <w:rPr>
                <w:rFonts w:ascii="Arial" w:hAnsi="Arial" w:cs="Arial"/>
                <w:b/>
                <w:bCs/>
              </w:rPr>
              <w:t>Se desvirtúa la presunción</w:t>
            </w:r>
            <w:r w:rsidRPr="00105A07">
              <w:rPr>
                <w:rFonts w:ascii="Arial" w:hAnsi="Arial" w:cs="Arial"/>
              </w:rPr>
              <w:t xml:space="preserve"> de que Santiago González, actual Presidente Municipal del Ayuntamiento de Santa Catalina </w:t>
            </w:r>
            <w:proofErr w:type="spellStart"/>
            <w:r w:rsidRPr="00105A07">
              <w:rPr>
                <w:rFonts w:ascii="Arial" w:hAnsi="Arial" w:cs="Arial"/>
              </w:rPr>
              <w:t>Quierí</w:t>
            </w:r>
            <w:proofErr w:type="spellEnd"/>
            <w:r w:rsidRPr="00105A07">
              <w:rPr>
                <w:rFonts w:ascii="Arial" w:hAnsi="Arial" w:cs="Arial"/>
              </w:rPr>
              <w:t xml:space="preserve">, Oaxaca, </w:t>
            </w:r>
            <w:r w:rsidRPr="005E68AA">
              <w:rPr>
                <w:rFonts w:ascii="Arial" w:hAnsi="Arial" w:cs="Arial"/>
                <w:b/>
                <w:bCs/>
              </w:rPr>
              <w:t>tiene un modo honesto de vivir.</w:t>
            </w:r>
          </w:p>
          <w:p w:rsidR="00A65EE0" w:rsidRPr="00105A07" w:rsidRDefault="00A65EE0" w:rsidP="00522C07">
            <w:pPr>
              <w:jc w:val="both"/>
              <w:rPr>
                <w:rFonts w:ascii="Arial" w:hAnsi="Arial" w:cs="Arial"/>
              </w:rPr>
            </w:pPr>
            <w:r w:rsidRPr="00105A07">
              <w:rPr>
                <w:rFonts w:ascii="Arial" w:hAnsi="Arial" w:cs="Arial"/>
              </w:rPr>
              <w:t xml:space="preserve">Se ordena al Consejo General del Instituto Estatal Electoral y de Participación Ciudadana de Oaxaca que, dentro de su ámbito de competencia, lleve un </w:t>
            </w:r>
            <w:r w:rsidRPr="005E68AA">
              <w:rPr>
                <w:rFonts w:ascii="Arial" w:hAnsi="Arial" w:cs="Arial"/>
                <w:b/>
                <w:bCs/>
              </w:rPr>
              <w:t>registro de ciudadanos de los cuales se tenga desvirtuada la presunción de tener un modo honesto de vivir</w:t>
            </w:r>
            <w:r>
              <w:rPr>
                <w:rFonts w:ascii="Arial" w:hAnsi="Arial" w:cs="Arial"/>
                <w:b/>
                <w:bCs/>
              </w:rPr>
              <w:t xml:space="preserve">. </w:t>
            </w:r>
          </w:p>
          <w:p w:rsidR="00A65EE0" w:rsidRPr="00D838E0" w:rsidRDefault="00A65EE0" w:rsidP="00522C07">
            <w:pPr>
              <w:jc w:val="both"/>
              <w:rPr>
                <w:rFonts w:ascii="Arial" w:hAnsi="Arial" w:cs="Arial"/>
              </w:rPr>
            </w:pPr>
            <w:r w:rsidRPr="00105A07">
              <w:rPr>
                <w:rFonts w:ascii="Arial" w:hAnsi="Arial" w:cs="Arial"/>
              </w:rPr>
              <w:t>Se da vista al Consejo General del Instituto Nacional Electoral con la presente determinación para que, en caso de que el ciudadano Santiago González pretenda participar como candidato al cargo de diputado federal en el próximo proceso electoral ordinario 2020-2021, adopte la determinación que en Derecho corresponda.</w:t>
            </w:r>
          </w:p>
        </w:tc>
      </w:tr>
      <w:tr w:rsidR="00A65EE0" w:rsidRPr="00D838E0" w:rsidTr="00522C07">
        <w:tc>
          <w:tcPr>
            <w:tcW w:w="2011" w:type="dxa"/>
            <w:vAlign w:val="center"/>
          </w:tcPr>
          <w:p w:rsidR="00A65EE0" w:rsidRPr="00D838E0" w:rsidRDefault="00A65EE0" w:rsidP="00522C07">
            <w:pPr>
              <w:jc w:val="center"/>
              <w:rPr>
                <w:rFonts w:ascii="Arial" w:hAnsi="Arial" w:cs="Arial"/>
              </w:rPr>
            </w:pPr>
            <w:r w:rsidRPr="00105A07">
              <w:rPr>
                <w:rFonts w:ascii="Arial" w:hAnsi="Arial" w:cs="Arial"/>
              </w:rPr>
              <w:t>SX-JDC-290/2019</w:t>
            </w:r>
          </w:p>
        </w:tc>
        <w:tc>
          <w:tcPr>
            <w:tcW w:w="4850" w:type="dxa"/>
            <w:vAlign w:val="center"/>
          </w:tcPr>
          <w:p w:rsidR="00A65EE0" w:rsidRPr="009C0A20" w:rsidRDefault="00A65EE0" w:rsidP="00522C07">
            <w:pPr>
              <w:jc w:val="both"/>
              <w:rPr>
                <w:rFonts w:ascii="Arial" w:hAnsi="Arial" w:cs="Arial"/>
                <w:b/>
                <w:bCs/>
              </w:rPr>
            </w:pPr>
            <w:r w:rsidRPr="009C0A20">
              <w:rPr>
                <w:rFonts w:ascii="Arial" w:hAnsi="Arial" w:cs="Arial"/>
                <w:b/>
                <w:bCs/>
              </w:rPr>
              <w:t xml:space="preserve">VPG y sistemas normativos internos </w:t>
            </w:r>
          </w:p>
          <w:p w:rsidR="00A65EE0" w:rsidRPr="00D838E0" w:rsidRDefault="00A65EE0" w:rsidP="00522C07">
            <w:pPr>
              <w:jc w:val="both"/>
              <w:rPr>
                <w:rFonts w:ascii="Arial" w:hAnsi="Arial" w:cs="Arial"/>
              </w:rPr>
            </w:pPr>
            <w:r>
              <w:rPr>
                <w:rFonts w:ascii="Arial" w:hAnsi="Arial" w:cs="Arial"/>
              </w:rPr>
              <w:t>Se impugnó una</w:t>
            </w:r>
            <w:r w:rsidRPr="00911137">
              <w:rPr>
                <w:rFonts w:ascii="Arial" w:hAnsi="Arial" w:cs="Arial"/>
              </w:rPr>
              <w:t xml:space="preserve"> sentencia </w:t>
            </w:r>
            <w:proofErr w:type="spellStart"/>
            <w:r>
              <w:rPr>
                <w:rFonts w:ascii="Arial" w:hAnsi="Arial" w:cs="Arial"/>
              </w:rPr>
              <w:t>del</w:t>
            </w:r>
            <w:r w:rsidRPr="00911137">
              <w:rPr>
                <w:rFonts w:ascii="Arial" w:hAnsi="Arial" w:cs="Arial"/>
              </w:rPr>
              <w:t>Tribunal</w:t>
            </w:r>
            <w:proofErr w:type="spellEnd"/>
            <w:r w:rsidRPr="00911137">
              <w:rPr>
                <w:rFonts w:ascii="Arial" w:hAnsi="Arial" w:cs="Arial"/>
              </w:rPr>
              <w:t xml:space="preserve"> Electoral de Oaxaca </w:t>
            </w:r>
            <w:r>
              <w:rPr>
                <w:rFonts w:ascii="Arial" w:hAnsi="Arial" w:cs="Arial"/>
              </w:rPr>
              <w:t>que</w:t>
            </w:r>
            <w:r w:rsidRPr="00911137">
              <w:rPr>
                <w:rFonts w:ascii="Arial" w:hAnsi="Arial" w:cs="Arial"/>
              </w:rPr>
              <w:t xml:space="preserve"> declaró inexistente la violencia política en razón de género en contra de </w:t>
            </w:r>
            <w:proofErr w:type="gramStart"/>
            <w:r w:rsidRPr="00911137">
              <w:rPr>
                <w:rFonts w:ascii="Arial" w:hAnsi="Arial" w:cs="Arial"/>
              </w:rPr>
              <w:t>la  actora</w:t>
            </w:r>
            <w:proofErr w:type="gramEnd"/>
            <w:r w:rsidRPr="00911137">
              <w:rPr>
                <w:rFonts w:ascii="Arial" w:hAnsi="Arial" w:cs="Arial"/>
              </w:rPr>
              <w:t xml:space="preserve"> </w:t>
            </w:r>
            <w:r>
              <w:rPr>
                <w:rFonts w:ascii="Arial" w:hAnsi="Arial" w:cs="Arial"/>
              </w:rPr>
              <w:t>(</w:t>
            </w:r>
            <w:r w:rsidRPr="00911137">
              <w:rPr>
                <w:rFonts w:ascii="Arial" w:hAnsi="Arial" w:cs="Arial"/>
              </w:rPr>
              <w:t>Teresa   López  García</w:t>
            </w:r>
            <w:r>
              <w:rPr>
                <w:rFonts w:ascii="Arial" w:hAnsi="Arial" w:cs="Arial"/>
              </w:rPr>
              <w:t>)</w:t>
            </w:r>
            <w:r w:rsidRPr="00911137">
              <w:rPr>
                <w:rFonts w:ascii="Arial" w:hAnsi="Arial" w:cs="Arial"/>
              </w:rPr>
              <w:t xml:space="preserve"> </w:t>
            </w:r>
            <w:r>
              <w:rPr>
                <w:rFonts w:ascii="Arial" w:hAnsi="Arial" w:cs="Arial"/>
              </w:rPr>
              <w:t xml:space="preserve">síndica municipal, </w:t>
            </w:r>
            <w:r w:rsidRPr="00911137">
              <w:rPr>
                <w:rFonts w:ascii="Arial" w:hAnsi="Arial" w:cs="Arial"/>
              </w:rPr>
              <w:t xml:space="preserve">por parte del Presidente Municipal e integrantes del Ayuntamiento de San Pedro </w:t>
            </w:r>
            <w:proofErr w:type="spellStart"/>
            <w:r w:rsidRPr="00911137">
              <w:rPr>
                <w:rFonts w:ascii="Arial" w:hAnsi="Arial" w:cs="Arial"/>
              </w:rPr>
              <w:t>Coxcaltepec</w:t>
            </w:r>
            <w:proofErr w:type="spellEnd"/>
            <w:r w:rsidRPr="00911137">
              <w:rPr>
                <w:rFonts w:ascii="Arial" w:hAnsi="Arial" w:cs="Arial"/>
              </w:rPr>
              <w:t xml:space="preserve"> Cántaros.</w:t>
            </w:r>
          </w:p>
        </w:tc>
        <w:tc>
          <w:tcPr>
            <w:tcW w:w="9724" w:type="dxa"/>
            <w:vAlign w:val="center"/>
          </w:tcPr>
          <w:p w:rsidR="00A65EE0" w:rsidRDefault="00A65EE0" w:rsidP="00522C07">
            <w:pPr>
              <w:jc w:val="both"/>
              <w:rPr>
                <w:rFonts w:ascii="Arial" w:hAnsi="Arial" w:cs="Arial"/>
              </w:rPr>
            </w:pPr>
          </w:p>
          <w:p w:rsidR="00A65EE0" w:rsidRPr="005E68AA" w:rsidRDefault="00A65EE0" w:rsidP="00522C07">
            <w:pPr>
              <w:jc w:val="both"/>
              <w:rPr>
                <w:rFonts w:ascii="Arial" w:hAnsi="Arial" w:cs="Arial"/>
                <w:b/>
                <w:bCs/>
              </w:rPr>
            </w:pPr>
            <w:r w:rsidRPr="005E68AA">
              <w:rPr>
                <w:rFonts w:ascii="Arial" w:hAnsi="Arial" w:cs="Arial"/>
                <w:b/>
                <w:bCs/>
              </w:rPr>
              <w:t xml:space="preserve">Se acredita VPG. </w:t>
            </w:r>
          </w:p>
          <w:p w:rsidR="00A65EE0" w:rsidRPr="00A030DE" w:rsidRDefault="00A65EE0" w:rsidP="00522C07">
            <w:pPr>
              <w:jc w:val="both"/>
              <w:rPr>
                <w:rFonts w:ascii="Arial" w:hAnsi="Arial" w:cs="Arial"/>
              </w:rPr>
            </w:pPr>
            <w:r w:rsidRPr="00911137">
              <w:rPr>
                <w:rFonts w:ascii="Arial" w:hAnsi="Arial" w:cs="Arial"/>
              </w:rPr>
              <w:t>Se modific</w:t>
            </w:r>
            <w:r>
              <w:rPr>
                <w:rFonts w:ascii="Arial" w:hAnsi="Arial" w:cs="Arial"/>
              </w:rPr>
              <w:t xml:space="preserve">ó la sentencia impugnada, se </w:t>
            </w:r>
            <w:r w:rsidRPr="00A030DE">
              <w:rPr>
                <w:rFonts w:ascii="Arial" w:hAnsi="Arial" w:cs="Arial"/>
              </w:rPr>
              <w:t xml:space="preserve">incumplió con el deber de juzgar con perspectiva de género, con especial énfasis en la valoración de las pruebas, ya que </w:t>
            </w:r>
            <w:r>
              <w:rPr>
                <w:rFonts w:ascii="Arial" w:hAnsi="Arial" w:cs="Arial"/>
              </w:rPr>
              <w:t xml:space="preserve">se </w:t>
            </w:r>
            <w:r w:rsidRPr="00A030DE">
              <w:rPr>
                <w:rFonts w:ascii="Arial" w:hAnsi="Arial" w:cs="Arial"/>
              </w:rPr>
              <w:t>hacen visible</w:t>
            </w:r>
            <w:r>
              <w:rPr>
                <w:rFonts w:ascii="Arial" w:hAnsi="Arial" w:cs="Arial"/>
              </w:rPr>
              <w:t>s</w:t>
            </w:r>
            <w:r w:rsidRPr="00A030DE">
              <w:rPr>
                <w:rFonts w:ascii="Arial" w:hAnsi="Arial" w:cs="Arial"/>
              </w:rPr>
              <w:t xml:space="preserve"> actos que constituyen </w:t>
            </w:r>
            <w:r>
              <w:rPr>
                <w:rFonts w:ascii="Arial" w:hAnsi="Arial" w:cs="Arial"/>
              </w:rPr>
              <w:t xml:space="preserve">VPG contra la síndica. </w:t>
            </w:r>
          </w:p>
          <w:p w:rsidR="00A65EE0" w:rsidRPr="00911137" w:rsidRDefault="00A65EE0" w:rsidP="00522C07">
            <w:pPr>
              <w:jc w:val="both"/>
              <w:rPr>
                <w:rFonts w:ascii="Arial" w:hAnsi="Arial" w:cs="Arial"/>
              </w:rPr>
            </w:pPr>
            <w:r>
              <w:rPr>
                <w:rFonts w:ascii="Arial" w:hAnsi="Arial" w:cs="Arial"/>
              </w:rPr>
              <w:t xml:space="preserve">Se ordenaron medidas de no repetición. </w:t>
            </w:r>
          </w:p>
        </w:tc>
      </w:tr>
      <w:tr w:rsidR="00A65EE0" w:rsidRPr="00D838E0" w:rsidTr="00522C07">
        <w:tc>
          <w:tcPr>
            <w:tcW w:w="2011" w:type="dxa"/>
            <w:vAlign w:val="center"/>
          </w:tcPr>
          <w:p w:rsidR="00A65EE0" w:rsidRPr="00D838E0" w:rsidRDefault="00A65EE0" w:rsidP="00522C07">
            <w:pPr>
              <w:jc w:val="center"/>
              <w:rPr>
                <w:rFonts w:ascii="Arial" w:hAnsi="Arial" w:cs="Arial"/>
              </w:rPr>
            </w:pPr>
            <w:r>
              <w:rPr>
                <w:rFonts w:ascii="Arial" w:hAnsi="Arial" w:cs="Arial"/>
              </w:rPr>
              <w:t>SX-JDC-326/2019</w:t>
            </w:r>
          </w:p>
        </w:tc>
        <w:tc>
          <w:tcPr>
            <w:tcW w:w="4850" w:type="dxa"/>
            <w:vAlign w:val="center"/>
          </w:tcPr>
          <w:p w:rsidR="00A65EE0" w:rsidRPr="00A030DE" w:rsidRDefault="00A65EE0" w:rsidP="00522C07">
            <w:pPr>
              <w:jc w:val="both"/>
              <w:rPr>
                <w:rFonts w:ascii="Arial" w:hAnsi="Arial" w:cs="Arial"/>
                <w:b/>
                <w:bCs/>
              </w:rPr>
            </w:pPr>
            <w:r w:rsidRPr="00A030DE">
              <w:rPr>
                <w:rFonts w:ascii="Arial" w:hAnsi="Arial" w:cs="Arial"/>
                <w:b/>
                <w:bCs/>
              </w:rPr>
              <w:t>VPG</w:t>
            </w:r>
            <w:r>
              <w:rPr>
                <w:rFonts w:ascii="Arial" w:hAnsi="Arial" w:cs="Arial"/>
                <w:b/>
                <w:bCs/>
              </w:rPr>
              <w:t xml:space="preserve"> y sistemas normativos internos. </w:t>
            </w:r>
          </w:p>
          <w:p w:rsidR="00A65EE0" w:rsidRDefault="00A65EE0" w:rsidP="00522C07">
            <w:pPr>
              <w:jc w:val="both"/>
              <w:rPr>
                <w:rFonts w:ascii="Arial" w:hAnsi="Arial" w:cs="Arial"/>
                <w:b/>
                <w:bCs/>
              </w:rPr>
            </w:pPr>
            <w:r w:rsidRPr="00A030DE">
              <w:rPr>
                <w:rFonts w:ascii="Arial" w:hAnsi="Arial" w:cs="Arial"/>
                <w:b/>
                <w:bCs/>
              </w:rPr>
              <w:t>Mujer indígena y embarazada</w:t>
            </w:r>
          </w:p>
          <w:p w:rsidR="00A65EE0" w:rsidRPr="00FC56BE" w:rsidRDefault="00A65EE0" w:rsidP="00522C07">
            <w:pPr>
              <w:spacing w:before="240" w:after="240"/>
              <w:jc w:val="both"/>
              <w:rPr>
                <w:rFonts w:ascii="Arial" w:hAnsi="Arial" w:cs="Arial"/>
                <w:bCs/>
                <w:szCs w:val="28"/>
              </w:rPr>
            </w:pPr>
            <w:r w:rsidRPr="00FC56BE">
              <w:rPr>
                <w:rFonts w:ascii="Arial" w:hAnsi="Arial" w:cs="Arial"/>
                <w:bCs/>
                <w:szCs w:val="28"/>
              </w:rPr>
              <w:lastRenderedPageBreak/>
              <w:t xml:space="preserve">Laura Cuenca Chávez, por propio </w:t>
            </w:r>
            <w:proofErr w:type="gramStart"/>
            <w:r w:rsidRPr="00FC56BE">
              <w:rPr>
                <w:rFonts w:ascii="Arial" w:hAnsi="Arial" w:cs="Arial"/>
                <w:bCs/>
                <w:szCs w:val="28"/>
              </w:rPr>
              <w:t>derecho</w:t>
            </w:r>
            <w:r>
              <w:rPr>
                <w:rFonts w:ascii="Arial" w:hAnsi="Arial" w:cs="Arial"/>
                <w:bCs/>
                <w:szCs w:val="28"/>
              </w:rPr>
              <w:t>,</w:t>
            </w:r>
            <w:r w:rsidRPr="00FC56BE">
              <w:rPr>
                <w:rFonts w:ascii="Arial" w:hAnsi="Arial" w:cs="Arial"/>
                <w:bCs/>
                <w:szCs w:val="28"/>
              </w:rPr>
              <w:t xml:space="preserve">  mixteca</w:t>
            </w:r>
            <w:proofErr w:type="gramEnd"/>
            <w:r w:rsidRPr="00FC56BE">
              <w:rPr>
                <w:rFonts w:ascii="Arial" w:hAnsi="Arial" w:cs="Arial"/>
                <w:bCs/>
                <w:szCs w:val="28"/>
              </w:rPr>
              <w:t xml:space="preserve"> del municipio de San Miguel </w:t>
            </w:r>
            <w:proofErr w:type="spellStart"/>
            <w:r w:rsidRPr="00FC56BE">
              <w:rPr>
                <w:rFonts w:ascii="Arial" w:hAnsi="Arial" w:cs="Arial"/>
                <w:bCs/>
                <w:szCs w:val="28"/>
              </w:rPr>
              <w:t>Ahuehuetitlán</w:t>
            </w:r>
            <w:proofErr w:type="spellEnd"/>
            <w:r w:rsidRPr="00FC56BE">
              <w:rPr>
                <w:rStyle w:val="Refdenotaalpie"/>
                <w:rFonts w:ascii="Arial" w:hAnsi="Arial" w:cs="Arial"/>
                <w:bCs/>
                <w:szCs w:val="28"/>
              </w:rPr>
              <w:footnoteReference w:id="1"/>
            </w:r>
            <w:r w:rsidRPr="00FC56BE">
              <w:rPr>
                <w:rFonts w:ascii="Arial" w:hAnsi="Arial" w:cs="Arial"/>
                <w:bCs/>
                <w:szCs w:val="28"/>
              </w:rPr>
              <w:t>, Oaxaca, impugna la resolución del el Tribunal Electoral de Oaxaca</w:t>
            </w:r>
            <w:r w:rsidRPr="00FC56BE">
              <w:rPr>
                <w:rStyle w:val="Refdenotaalpie"/>
                <w:rFonts w:ascii="Arial" w:hAnsi="Arial" w:cs="Arial"/>
                <w:bCs/>
                <w:szCs w:val="28"/>
              </w:rPr>
              <w:footnoteReference w:id="2"/>
            </w:r>
            <w:r w:rsidRPr="00FC56BE">
              <w:rPr>
                <w:rFonts w:ascii="Arial" w:hAnsi="Arial" w:cs="Arial"/>
                <w:bCs/>
                <w:szCs w:val="28"/>
              </w:rPr>
              <w:t xml:space="preserve"> que declaró parcialmente fundado el agravio sobre obstrucción del ejercicio de su cargo como Regidora de Hacienda, por parte de la Presidenta Municipal del Ayuntamiento del citado municipio e inexistente la violencia política en razón de género denunciada por la accionante. </w:t>
            </w:r>
          </w:p>
          <w:p w:rsidR="00A65EE0" w:rsidRPr="0042786A" w:rsidRDefault="00A65EE0" w:rsidP="00522C07">
            <w:pPr>
              <w:spacing w:before="240" w:after="240"/>
              <w:jc w:val="both"/>
              <w:rPr>
                <w:rFonts w:ascii="Arial" w:hAnsi="Arial" w:cs="Arial"/>
                <w:bCs/>
                <w:szCs w:val="28"/>
              </w:rPr>
            </w:pPr>
            <w:r w:rsidRPr="00FC56BE">
              <w:rPr>
                <w:rFonts w:ascii="Arial" w:hAnsi="Arial" w:cs="Arial"/>
                <w:bCs/>
              </w:rPr>
              <w:t>Al respecto, señaló que la inconforme adujo que la Presidente Municipal: a) no le permitía realizar las atribuciones inherentes a su cargo, siempre le obstaculizaba, poniéndole actividades que no era propias de su encargo, como son invitar a los pobladores a realizar trabajos y apoyos económicos para las fiestas patronales (cofradías), b) no tomaba en cuenta sus opiniones o sugerencias y; c) le impedía ejercer el cargo como Regidora de Hacienda.</w:t>
            </w:r>
          </w:p>
        </w:tc>
        <w:tc>
          <w:tcPr>
            <w:tcW w:w="9724" w:type="dxa"/>
            <w:vAlign w:val="center"/>
          </w:tcPr>
          <w:p w:rsidR="00A65EE0" w:rsidRPr="0042786A" w:rsidRDefault="00A65EE0" w:rsidP="00522C07">
            <w:pPr>
              <w:jc w:val="both"/>
              <w:rPr>
                <w:rFonts w:ascii="Arial" w:hAnsi="Arial" w:cs="Arial"/>
                <w:b/>
                <w:bCs/>
              </w:rPr>
            </w:pPr>
            <w:r w:rsidRPr="00FC56BE">
              <w:rPr>
                <w:rFonts w:ascii="Arial" w:hAnsi="Arial" w:cs="Arial"/>
                <w:b/>
                <w:bCs/>
              </w:rPr>
              <w:lastRenderedPageBreak/>
              <w:t xml:space="preserve">Acreditada la VPG de Presidenta Municipal a regidora de Hacienda (mujer vs mujer). </w:t>
            </w:r>
          </w:p>
          <w:p w:rsidR="00A65EE0" w:rsidRDefault="00A65EE0" w:rsidP="00522C07">
            <w:pPr>
              <w:jc w:val="both"/>
              <w:rPr>
                <w:rFonts w:ascii="Arial" w:hAnsi="Arial" w:cs="Arial"/>
              </w:rPr>
            </w:pPr>
            <w:r w:rsidRPr="00FC56BE">
              <w:rPr>
                <w:rFonts w:ascii="Arial" w:hAnsi="Arial" w:cs="Arial"/>
              </w:rPr>
              <w:lastRenderedPageBreak/>
              <w:t xml:space="preserve">Se modifica la sentencia impugnada porque los actos atribuidos a la Presidenta Municipal del Ayuntamiento de San Miguel </w:t>
            </w:r>
            <w:proofErr w:type="spellStart"/>
            <w:r w:rsidRPr="00FC56BE">
              <w:rPr>
                <w:rFonts w:ascii="Arial" w:hAnsi="Arial" w:cs="Arial"/>
              </w:rPr>
              <w:t>Ahuehuetitlán</w:t>
            </w:r>
            <w:proofErr w:type="spellEnd"/>
            <w:r w:rsidRPr="00FC56BE">
              <w:rPr>
                <w:rFonts w:ascii="Arial" w:hAnsi="Arial" w:cs="Arial"/>
              </w:rPr>
              <w:t xml:space="preserve">, Oaxaca, sí constituyen violencia política </w:t>
            </w:r>
            <w:proofErr w:type="gramStart"/>
            <w:r w:rsidRPr="00FC56BE">
              <w:rPr>
                <w:rFonts w:ascii="Arial" w:hAnsi="Arial" w:cs="Arial"/>
              </w:rPr>
              <w:t>en razón de</w:t>
            </w:r>
            <w:proofErr w:type="gramEnd"/>
            <w:r w:rsidRPr="00FC56BE">
              <w:rPr>
                <w:rFonts w:ascii="Arial" w:hAnsi="Arial" w:cs="Arial"/>
              </w:rPr>
              <w:t xml:space="preserve"> género, en perjuicio de la Regidora de Hacienda.  </w:t>
            </w:r>
          </w:p>
          <w:p w:rsidR="00A65EE0" w:rsidRPr="00FC56BE" w:rsidRDefault="00A65EE0" w:rsidP="00522C07">
            <w:pPr>
              <w:jc w:val="both"/>
              <w:rPr>
                <w:rFonts w:ascii="Arial" w:hAnsi="Arial" w:cs="Arial"/>
              </w:rPr>
            </w:pPr>
          </w:p>
          <w:p w:rsidR="00A65EE0" w:rsidRPr="00FC56BE" w:rsidRDefault="00A65EE0" w:rsidP="00522C07">
            <w:pPr>
              <w:jc w:val="both"/>
              <w:rPr>
                <w:rFonts w:ascii="Arial" w:hAnsi="Arial" w:cs="Arial"/>
              </w:rPr>
            </w:pPr>
            <w:r w:rsidRPr="00FC56BE">
              <w:rPr>
                <w:rFonts w:ascii="Arial" w:hAnsi="Arial" w:cs="Arial"/>
              </w:rPr>
              <w:t>Porque considerar que no constituye VPG el hecho de que a una mujer que ejerce un cargo de representación popular no se le otorgue la protección debida en la etapa de gestación, implica desconocer o pasar por alto la perspectiva de género en el juzgamiento de la controversia</w:t>
            </w:r>
            <w:r>
              <w:rPr>
                <w:rFonts w:ascii="Arial" w:hAnsi="Arial" w:cs="Arial"/>
              </w:rPr>
              <w:t>.</w:t>
            </w:r>
          </w:p>
          <w:p w:rsidR="00A65EE0" w:rsidRPr="00FC56BE" w:rsidRDefault="00A65EE0" w:rsidP="00522C07">
            <w:pPr>
              <w:jc w:val="both"/>
              <w:rPr>
                <w:rFonts w:ascii="Arial" w:hAnsi="Arial" w:cs="Arial"/>
              </w:rPr>
            </w:pPr>
          </w:p>
          <w:p w:rsidR="00A65EE0" w:rsidRDefault="00A65EE0" w:rsidP="00522C07">
            <w:pPr>
              <w:pStyle w:val="NUMERADO"/>
              <w:numPr>
                <w:ilvl w:val="0"/>
                <w:numId w:val="0"/>
              </w:numPr>
              <w:spacing w:before="0" w:after="0" w:line="276" w:lineRule="auto"/>
              <w:rPr>
                <w:rFonts w:ascii="Arial" w:hAnsi="Arial"/>
                <w:sz w:val="22"/>
                <w:szCs w:val="22"/>
              </w:rPr>
            </w:pPr>
            <w:r w:rsidRPr="00FC56BE">
              <w:rPr>
                <w:rFonts w:ascii="Arial" w:hAnsi="Arial"/>
                <w:color w:val="000000"/>
                <w:sz w:val="22"/>
                <w:szCs w:val="22"/>
              </w:rPr>
              <w:t xml:space="preserve">Tribunal responsable pasó por alto que las conductas omisivas, tanto de la Presidenta Municipal como del propio Cabildo, tuvieron como resultado una afectación psicológica y económica en la esfera de derechos de la actora, toda vez que las omisiones en que incurrieron </w:t>
            </w:r>
            <w:r w:rsidRPr="00FC56BE">
              <w:rPr>
                <w:rFonts w:ascii="Arial" w:hAnsi="Arial"/>
                <w:sz w:val="22"/>
                <w:szCs w:val="22"/>
              </w:rPr>
              <w:t>impidieron el goce y ejercicio de los derechos humanos de la Regidora de Hacienda, así como el pleno ejercicio o desempeño de sus funciones en condiciones de igualdad y libre de violencia.</w:t>
            </w:r>
          </w:p>
          <w:p w:rsidR="00A65EE0" w:rsidRPr="00FC56BE" w:rsidRDefault="00A65EE0" w:rsidP="00522C07">
            <w:pPr>
              <w:pStyle w:val="NUMERADO"/>
              <w:numPr>
                <w:ilvl w:val="0"/>
                <w:numId w:val="0"/>
              </w:numPr>
              <w:spacing w:before="0" w:after="0" w:line="276" w:lineRule="auto"/>
              <w:rPr>
                <w:rFonts w:ascii="Arial" w:hAnsi="Arial"/>
                <w:color w:val="000000"/>
                <w:sz w:val="22"/>
                <w:szCs w:val="22"/>
              </w:rPr>
            </w:pPr>
          </w:p>
          <w:p w:rsidR="00A65EE0" w:rsidRPr="00FC56BE" w:rsidRDefault="00A65EE0" w:rsidP="00522C07">
            <w:pPr>
              <w:pStyle w:val="NUMERADO"/>
              <w:numPr>
                <w:ilvl w:val="0"/>
                <w:numId w:val="0"/>
              </w:numPr>
              <w:spacing w:before="0" w:after="0" w:line="276" w:lineRule="auto"/>
              <w:rPr>
                <w:rFonts w:cs="Calibri"/>
                <w:color w:val="000000"/>
              </w:rPr>
            </w:pPr>
            <w:r w:rsidRPr="00FC56BE">
              <w:rPr>
                <w:rFonts w:ascii="Arial" w:hAnsi="Arial"/>
                <w:b/>
                <w:bCs/>
                <w:sz w:val="22"/>
                <w:szCs w:val="22"/>
              </w:rPr>
              <w:t>Se ordenaron medidas de no repetición</w:t>
            </w:r>
            <w:r w:rsidRPr="00FC56BE">
              <w:rPr>
                <w:rFonts w:ascii="Arial" w:hAnsi="Arial"/>
                <w:sz w:val="22"/>
                <w:szCs w:val="22"/>
              </w:rPr>
              <w:t>, con el apoyo de las diversas instituciones públicas defensoras de los derechos humanos y de la mujer, solicite, implemente y participe en programas de capacitación y sensibilización en materia de género y derechos de la mujer, dirigidos a los integrantes del propio Ayuntamiento.</w:t>
            </w:r>
            <w:r w:rsidRPr="00FC56BE">
              <w:t xml:space="preserve"> </w:t>
            </w:r>
          </w:p>
        </w:tc>
      </w:tr>
    </w:tbl>
    <w:p w:rsidR="00901D91" w:rsidRDefault="00901D91">
      <w:bookmarkStart w:id="0" w:name="_GoBack"/>
      <w:bookmarkEnd w:id="0"/>
    </w:p>
    <w:sectPr w:rsidR="00901D91" w:rsidSect="001D7B8E">
      <w:pgSz w:w="18720" w:h="12240" w:orient="landscape" w:code="14"/>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3E2A" w:rsidRDefault="00053E2A" w:rsidP="001D7B8E">
      <w:pPr>
        <w:spacing w:after="0" w:line="240" w:lineRule="auto"/>
      </w:pPr>
      <w:r>
        <w:separator/>
      </w:r>
    </w:p>
  </w:endnote>
  <w:endnote w:type="continuationSeparator" w:id="0">
    <w:p w:rsidR="00053E2A" w:rsidRDefault="00053E2A" w:rsidP="001D7B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Univers">
    <w:panose1 w:val="020B0603020202030204"/>
    <w:charset w:val="00"/>
    <w:family w:val="swiss"/>
    <w:pitch w:val="variable"/>
    <w:sig w:usb0="00000007" w:usb1="00000000" w:usb2="00000000" w:usb3="00000000" w:csb0="00000093"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3E2A" w:rsidRDefault="00053E2A" w:rsidP="001D7B8E">
      <w:pPr>
        <w:spacing w:after="0" w:line="240" w:lineRule="auto"/>
      </w:pPr>
      <w:r>
        <w:separator/>
      </w:r>
    </w:p>
  </w:footnote>
  <w:footnote w:type="continuationSeparator" w:id="0">
    <w:p w:rsidR="00053E2A" w:rsidRDefault="00053E2A" w:rsidP="001D7B8E">
      <w:pPr>
        <w:spacing w:after="0" w:line="240" w:lineRule="auto"/>
      </w:pPr>
      <w:r>
        <w:continuationSeparator/>
      </w:r>
    </w:p>
  </w:footnote>
  <w:footnote w:id="1">
    <w:p w:rsidR="00A65EE0" w:rsidRPr="00DD37DF" w:rsidRDefault="00A65EE0" w:rsidP="00A65EE0">
      <w:pPr>
        <w:pStyle w:val="Textonotapie"/>
      </w:pPr>
      <w:r>
        <w:rPr>
          <w:rStyle w:val="Refdenotaalpie"/>
        </w:rPr>
        <w:footnoteRef/>
      </w:r>
      <w:r>
        <w:t xml:space="preserve"> En lo subsecuente podrá citarse como: el Ayuntamiento.</w:t>
      </w:r>
    </w:p>
  </w:footnote>
  <w:footnote w:id="2">
    <w:p w:rsidR="00A65EE0" w:rsidRPr="00DD37DF" w:rsidRDefault="00A65EE0" w:rsidP="00A65EE0">
      <w:pPr>
        <w:pStyle w:val="Textonotapie"/>
      </w:pPr>
      <w:r>
        <w:rPr>
          <w:rStyle w:val="Refdenotaalpie"/>
        </w:rPr>
        <w:footnoteRef/>
      </w:r>
      <w:r>
        <w:t xml:space="preserve"> En lo sucesivo podrá citarse como: Tribunal local, autoridad responsable o TEEO.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A3C1DEE"/>
    <w:multiLevelType w:val="hybridMultilevel"/>
    <w:tmpl w:val="2348FB82"/>
    <w:lvl w:ilvl="0" w:tplc="427CD9F4">
      <w:start w:val="1"/>
      <w:numFmt w:val="decimal"/>
      <w:pStyle w:val="NUMERADO"/>
      <w:lvlText w:val="%1."/>
      <w:lvlJc w:val="left"/>
      <w:pPr>
        <w:ind w:left="7165" w:hanging="360"/>
      </w:pPr>
      <w:rPr>
        <w:rFonts w:ascii="Univers" w:hAnsi="Univers" w:hint="default"/>
        <w:b/>
        <w:color w:val="auto"/>
        <w:sz w:val="28"/>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7B8E"/>
    <w:rsid w:val="00053E2A"/>
    <w:rsid w:val="001D7B8E"/>
    <w:rsid w:val="00901D91"/>
    <w:rsid w:val="00A65EE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F444E"/>
  <w15:chartTrackingRefBased/>
  <w15:docId w15:val="{581F047F-A06F-484E-B3CC-626F2A5AD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5EE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1D7B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aliases w:val="Footnote Text Char Char Char Char Char,Footnote Text Char Char Char Char,Footnote reference,FA Fu,Footnote Text Char Char Char,Footnote Text Cha,FA Fußnotentext,FA Fu?notentext,Footnote Text Char Char,FA Fuﬂnotentext,Ca,Ref. de nota al pi"/>
    <w:basedOn w:val="Normal"/>
    <w:link w:val="TextonotapieCar"/>
    <w:uiPriority w:val="99"/>
    <w:unhideWhenUsed/>
    <w:qFormat/>
    <w:rsid w:val="001D7B8E"/>
    <w:pPr>
      <w:spacing w:after="0" w:line="240" w:lineRule="auto"/>
    </w:pPr>
    <w:rPr>
      <w:sz w:val="20"/>
      <w:szCs w:val="20"/>
    </w:rPr>
  </w:style>
  <w:style w:type="character" w:customStyle="1" w:styleId="TextonotapieCar">
    <w:name w:val="Texto nota pie Car"/>
    <w:aliases w:val="Footnote Text Char Char Char Char Char Car,Footnote Text Char Char Char Char Car,Footnote reference Car,FA Fu Car,Footnote Text Char Char Char Car,Footnote Text Cha Car,FA Fußnotentext Car,FA Fu?notentext Car,FA Fuﬂnotentext Car"/>
    <w:basedOn w:val="Fuentedeprrafopredeter"/>
    <w:link w:val="Textonotapie"/>
    <w:uiPriority w:val="99"/>
    <w:qFormat/>
    <w:rsid w:val="001D7B8E"/>
    <w:rPr>
      <w:sz w:val="20"/>
      <w:szCs w:val="20"/>
    </w:rPr>
  </w:style>
  <w:style w:type="character" w:styleId="Refdenotaalpie">
    <w:name w:val="footnote reference"/>
    <w:aliases w:val="Footnotes refss,Texto de nota al pie,Appel note de bas de page,Footnote number,referencia nota al pie,BVI fnr,f,4_G,16 Point,Superscript 6 Point,Texto nota al pie,Footnote Reference Char3,Footnote Reference Char1 Char,julio,ftre,juli"/>
    <w:basedOn w:val="Fuentedeprrafopredeter"/>
    <w:link w:val="4GChar"/>
    <w:uiPriority w:val="99"/>
    <w:unhideWhenUsed/>
    <w:qFormat/>
    <w:rsid w:val="001D7B8E"/>
    <w:rPr>
      <w:vertAlign w:val="superscript"/>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alpie"/>
    <w:uiPriority w:val="99"/>
    <w:qFormat/>
    <w:rsid w:val="001D7B8E"/>
    <w:pPr>
      <w:jc w:val="both"/>
    </w:pPr>
    <w:rPr>
      <w:vertAlign w:val="superscript"/>
    </w:rPr>
  </w:style>
  <w:style w:type="paragraph" w:customStyle="1" w:styleId="NUMERADO">
    <w:name w:val="NUMERADO"/>
    <w:basedOn w:val="Normal"/>
    <w:link w:val="NUMERADOCar"/>
    <w:autoRedefine/>
    <w:qFormat/>
    <w:rsid w:val="001D7B8E"/>
    <w:pPr>
      <w:numPr>
        <w:numId w:val="1"/>
      </w:numPr>
      <w:spacing w:before="240" w:after="240" w:line="360" w:lineRule="auto"/>
      <w:ind w:left="0" w:firstLine="0"/>
      <w:jc w:val="both"/>
    </w:pPr>
    <w:rPr>
      <w:rFonts w:ascii="Univers" w:eastAsia="Times New Roman" w:hAnsi="Univers" w:cs="Arial"/>
      <w:sz w:val="28"/>
      <w:szCs w:val="28"/>
      <w:lang w:eastAsia="es-MX"/>
    </w:rPr>
  </w:style>
  <w:style w:type="character" w:customStyle="1" w:styleId="NUMERADOCar">
    <w:name w:val="NUMERADO Car"/>
    <w:basedOn w:val="Fuentedeprrafopredeter"/>
    <w:link w:val="NUMERADO"/>
    <w:rsid w:val="001D7B8E"/>
    <w:rPr>
      <w:rFonts w:ascii="Univers" w:eastAsia="Times New Roman" w:hAnsi="Univers" w:cs="Arial"/>
      <w:sz w:val="28"/>
      <w:szCs w:val="28"/>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771</Words>
  <Characters>4241</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Roselia Bustillo Marín</dc:creator>
  <cp:keywords/>
  <dc:description/>
  <cp:lastModifiedBy>Roselia Bustillo Marín</cp:lastModifiedBy>
  <cp:revision>1</cp:revision>
  <dcterms:created xsi:type="dcterms:W3CDTF">2021-07-02T22:56:00Z</dcterms:created>
  <dcterms:modified xsi:type="dcterms:W3CDTF">2021-07-02T23:12:00Z</dcterms:modified>
</cp:coreProperties>
</file>